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8B45D2" w14:textId="77777777" w:rsidR="00100471" w:rsidRPr="00227127" w:rsidRDefault="00100471" w:rsidP="00B34362">
      <w:pPr>
        <w:jc w:val="center"/>
        <w:rPr>
          <w:b/>
          <w:bCs/>
        </w:rPr>
      </w:pPr>
      <w:r w:rsidRPr="00227127">
        <w:rPr>
          <w:b/>
          <w:bCs/>
        </w:rPr>
        <w:t>BEFORE THE</w:t>
      </w:r>
    </w:p>
    <w:p w14:paraId="3F023D97" w14:textId="77777777" w:rsidR="00100471" w:rsidRPr="00227127" w:rsidRDefault="00100471" w:rsidP="00B34362">
      <w:pPr>
        <w:jc w:val="center"/>
        <w:rPr>
          <w:b/>
          <w:bCs/>
        </w:rPr>
      </w:pPr>
      <w:r w:rsidRPr="00227127">
        <w:rPr>
          <w:b/>
          <w:bCs/>
        </w:rPr>
        <w:t>GEORGIA PUBLIC SERVICE COMMISSION</w:t>
      </w:r>
    </w:p>
    <w:p w14:paraId="54019B74" w14:textId="77777777" w:rsidR="00100471" w:rsidRPr="00227127" w:rsidRDefault="00100471" w:rsidP="00B34362">
      <w:pPr>
        <w:jc w:val="center"/>
        <w:rPr>
          <w:b/>
          <w:bCs/>
        </w:rPr>
      </w:pPr>
    </w:p>
    <w:p w14:paraId="5CB5838F" w14:textId="77777777" w:rsidR="00100471" w:rsidRPr="00227127" w:rsidRDefault="00100471" w:rsidP="00B34362">
      <w:pPr>
        <w:jc w:val="center"/>
        <w:rPr>
          <w:b/>
          <w:bCs/>
        </w:rPr>
      </w:pPr>
    </w:p>
    <w:p w14:paraId="3A84FDA9"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In the Matter of</w:t>
      </w:r>
      <w:r w:rsidRPr="00227127">
        <w:rPr>
          <w:rFonts w:eastAsia="Times New Roman"/>
          <w:b/>
        </w:rPr>
        <w:tab/>
        <w:t>)</w:t>
      </w:r>
    </w:p>
    <w:p w14:paraId="1B0407C6"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ab/>
      </w:r>
      <w:r w:rsidRPr="00227127">
        <w:rPr>
          <w:rFonts w:eastAsia="Times New Roman"/>
          <w:b/>
        </w:rPr>
        <w:tab/>
        <w:t>)</w:t>
      </w:r>
    </w:p>
    <w:p w14:paraId="04AB066F"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 xml:space="preserve">Capacity and Energy Payments to </w:t>
      </w:r>
      <w:r w:rsidRPr="00227127">
        <w:rPr>
          <w:rFonts w:eastAsia="Times New Roman"/>
          <w:b/>
        </w:rPr>
        <w:tab/>
        <w:t>)</w:t>
      </w:r>
      <w:r w:rsidRPr="00227127">
        <w:rPr>
          <w:rFonts w:eastAsia="Times New Roman"/>
          <w:b/>
        </w:rPr>
        <w:tab/>
        <w:t xml:space="preserve">Docket No. </w:t>
      </w:r>
      <w:r w:rsidRPr="00227127">
        <w:rPr>
          <w:rFonts w:eastAsia="Times New Roman"/>
          <w:b/>
          <w:color w:val="000000"/>
        </w:rPr>
        <w:t>4822</w:t>
      </w:r>
    </w:p>
    <w:p w14:paraId="30227916" w14:textId="77777777" w:rsidR="00100471" w:rsidRPr="00227127" w:rsidRDefault="00100471" w:rsidP="00100471">
      <w:pPr>
        <w:ind w:left="720" w:hanging="360"/>
        <w:rPr>
          <w:rFonts w:eastAsia="Times New Roman"/>
          <w:b/>
        </w:rPr>
      </w:pPr>
      <w:proofErr w:type="spellStart"/>
      <w:r w:rsidRPr="00227127">
        <w:rPr>
          <w:rFonts w:eastAsia="Times New Roman"/>
          <w:b/>
          <w:color w:val="000000"/>
        </w:rPr>
        <w:t>Cogenerators</w:t>
      </w:r>
      <w:proofErr w:type="spellEnd"/>
      <w:r w:rsidRPr="00227127">
        <w:rPr>
          <w:rFonts w:eastAsia="Times New Roman"/>
          <w:b/>
          <w:color w:val="000000"/>
        </w:rPr>
        <w:t xml:space="preserve"> under PURPA</w:t>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rPr>
        <w:t xml:space="preserve">) </w:t>
      </w:r>
    </w:p>
    <w:p w14:paraId="358C13A4"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ab/>
      </w:r>
      <w:r w:rsidRPr="00227127">
        <w:rPr>
          <w:rFonts w:eastAsia="Times New Roman"/>
          <w:b/>
        </w:rPr>
        <w:tab/>
        <w:t>)</w:t>
      </w:r>
      <w:r w:rsidRPr="00227127">
        <w:rPr>
          <w:rFonts w:eastAsia="Times New Roman"/>
          <w:b/>
        </w:rPr>
        <w:tab/>
      </w:r>
    </w:p>
    <w:p w14:paraId="59DA3B77"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Georgia Power Company’s Green</w:t>
      </w:r>
      <w:r w:rsidRPr="00227127">
        <w:rPr>
          <w:rFonts w:eastAsia="Times New Roman"/>
          <w:b/>
        </w:rPr>
        <w:tab/>
        <w:t>)</w:t>
      </w:r>
      <w:r w:rsidRPr="00227127">
        <w:rPr>
          <w:rFonts w:eastAsia="Times New Roman"/>
          <w:b/>
        </w:rPr>
        <w:tab/>
        <w:t xml:space="preserve">Docket No. </w:t>
      </w:r>
      <w:r w:rsidRPr="00227127">
        <w:rPr>
          <w:rFonts w:eastAsia="Times New Roman"/>
          <w:b/>
          <w:color w:val="000000"/>
        </w:rPr>
        <w:t>16573</w:t>
      </w:r>
    </w:p>
    <w:p w14:paraId="2428299C" w14:textId="77777777" w:rsidR="00100471" w:rsidRPr="00227127" w:rsidRDefault="00100471" w:rsidP="00100471">
      <w:pPr>
        <w:ind w:left="720" w:hanging="360"/>
        <w:rPr>
          <w:rFonts w:eastAsia="Times New Roman"/>
          <w:b/>
        </w:rPr>
      </w:pPr>
      <w:r w:rsidRPr="00227127">
        <w:rPr>
          <w:rFonts w:eastAsia="Times New Roman"/>
          <w:b/>
          <w:color w:val="000000"/>
        </w:rPr>
        <w:t>Energy Program</w:t>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rPr>
        <w:t xml:space="preserve">) </w:t>
      </w:r>
    </w:p>
    <w:p w14:paraId="33D1164C" w14:textId="77777777" w:rsidR="00100471" w:rsidRPr="00227127" w:rsidRDefault="00100471" w:rsidP="00100471">
      <w:pPr>
        <w:ind w:left="720" w:hanging="360"/>
        <w:rPr>
          <w:rFonts w:eastAsia="Times New Roman"/>
          <w:b/>
        </w:rPr>
      </w:pP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t>)</w:t>
      </w:r>
    </w:p>
    <w:p w14:paraId="7751262A" w14:textId="77777777" w:rsidR="00100471" w:rsidRPr="00227127" w:rsidRDefault="00100471" w:rsidP="00100471">
      <w:pPr>
        <w:tabs>
          <w:tab w:val="left" w:pos="-1080"/>
          <w:tab w:val="left" w:pos="-720"/>
          <w:tab w:val="left" w:pos="0"/>
          <w:tab w:val="left" w:pos="5760"/>
          <w:tab w:val="left" w:pos="6480"/>
          <w:tab w:val="left" w:pos="8640"/>
        </w:tabs>
        <w:suppressAutoHyphens/>
        <w:ind w:left="720" w:hanging="360"/>
        <w:rPr>
          <w:rFonts w:eastAsia="Times New Roman"/>
          <w:b/>
        </w:rPr>
      </w:pPr>
      <w:r w:rsidRPr="00227127">
        <w:rPr>
          <w:rFonts w:eastAsia="Times New Roman"/>
          <w:b/>
        </w:rPr>
        <w:t>Biomass Gas &amp; Electric, LLC’s</w:t>
      </w:r>
      <w:r w:rsidRPr="00227127">
        <w:rPr>
          <w:rFonts w:eastAsia="Times New Roman"/>
          <w:b/>
        </w:rPr>
        <w:tab/>
        <w:t>)</w:t>
      </w:r>
      <w:r w:rsidRPr="00227127">
        <w:rPr>
          <w:rFonts w:eastAsia="Times New Roman"/>
          <w:b/>
        </w:rPr>
        <w:tab/>
        <w:t xml:space="preserve">Docket No. </w:t>
      </w:r>
      <w:r w:rsidRPr="00227127">
        <w:rPr>
          <w:rFonts w:eastAsia="Times New Roman"/>
          <w:b/>
          <w:color w:val="000000"/>
        </w:rPr>
        <w:t>19279</w:t>
      </w:r>
    </w:p>
    <w:p w14:paraId="7F32212D" w14:textId="77777777" w:rsidR="00100471" w:rsidRPr="00227127" w:rsidRDefault="00100471" w:rsidP="00100471">
      <w:pPr>
        <w:ind w:left="720" w:hanging="360"/>
        <w:rPr>
          <w:rFonts w:eastAsia="Times New Roman"/>
          <w:b/>
        </w:rPr>
      </w:pPr>
      <w:r w:rsidRPr="00227127">
        <w:rPr>
          <w:rFonts w:eastAsia="Times New Roman"/>
          <w:b/>
          <w:color w:val="000000"/>
        </w:rPr>
        <w:t>Petition to Establish Docket</w:t>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rPr>
        <w:t xml:space="preserve">) </w:t>
      </w:r>
      <w:r w:rsidRPr="00227127">
        <w:rPr>
          <w:rFonts w:eastAsia="Times New Roman"/>
          <w:b/>
        </w:rPr>
        <w:tab/>
      </w:r>
    </w:p>
    <w:p w14:paraId="412FA85E" w14:textId="77777777" w:rsidR="00100471" w:rsidRPr="00227127" w:rsidRDefault="00100471" w:rsidP="00100471">
      <w:pPr>
        <w:ind w:left="720" w:hanging="360"/>
        <w:rPr>
          <w:rFonts w:eastAsia="Times New Roman"/>
          <w:b/>
        </w:rPr>
      </w:pPr>
      <w:r w:rsidRPr="00227127">
        <w:rPr>
          <w:rFonts w:eastAsia="Times New Roman"/>
          <w:b/>
          <w:color w:val="000000"/>
        </w:rPr>
        <w:t>Regarding Forsyth County</w:t>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rPr>
        <w:t xml:space="preserve">) </w:t>
      </w:r>
      <w:r w:rsidRPr="00227127">
        <w:rPr>
          <w:rFonts w:eastAsia="Times New Roman"/>
          <w:b/>
        </w:rPr>
        <w:tab/>
      </w:r>
      <w:r w:rsidRPr="00227127">
        <w:rPr>
          <w:rFonts w:eastAsia="Times New Roman"/>
          <w:b/>
        </w:rPr>
        <w:tab/>
      </w:r>
      <w:r w:rsidRPr="00227127">
        <w:rPr>
          <w:rFonts w:eastAsia="Times New Roman"/>
          <w:b/>
        </w:rPr>
        <w:tab/>
      </w:r>
      <w:r w:rsidRPr="00227127">
        <w:rPr>
          <w:rFonts w:eastAsia="Times New Roman"/>
          <w:b/>
        </w:rPr>
        <w:tab/>
      </w:r>
    </w:p>
    <w:p w14:paraId="5C5B0313" w14:textId="77777777" w:rsidR="00100471" w:rsidRPr="00227127" w:rsidRDefault="00100471" w:rsidP="00100471">
      <w:pPr>
        <w:ind w:firstLine="360"/>
        <w:rPr>
          <w:rFonts w:eastAsia="Times New Roman"/>
          <w:b/>
        </w:rPr>
      </w:pPr>
      <w:r w:rsidRPr="00227127">
        <w:rPr>
          <w:rFonts w:eastAsia="Times New Roman"/>
          <w:b/>
          <w:color w:val="000000"/>
        </w:rPr>
        <w:t>Renewable Energy Plant</w:t>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color w:val="000000"/>
        </w:rPr>
        <w:tab/>
      </w:r>
      <w:r w:rsidRPr="00227127">
        <w:rPr>
          <w:rFonts w:eastAsia="Times New Roman"/>
          <w:b/>
        </w:rPr>
        <w:t xml:space="preserve">) </w:t>
      </w:r>
      <w:r w:rsidRPr="00227127">
        <w:rPr>
          <w:rFonts w:eastAsia="Times New Roman"/>
          <w:b/>
        </w:rPr>
        <w:tab/>
      </w:r>
    </w:p>
    <w:p w14:paraId="2A91E372" w14:textId="77777777" w:rsidR="00100471" w:rsidRPr="00227127" w:rsidRDefault="00100471" w:rsidP="00100471">
      <w:pPr>
        <w:tabs>
          <w:tab w:val="center" w:pos="4680"/>
        </w:tabs>
        <w:rPr>
          <w:rFonts w:eastAsia="Times New Roman"/>
          <w:b/>
        </w:rPr>
      </w:pPr>
    </w:p>
    <w:p w14:paraId="39CF4356" w14:textId="77777777" w:rsidR="00100471" w:rsidRPr="00227127" w:rsidRDefault="00100471" w:rsidP="00B2548B"/>
    <w:p w14:paraId="5F57198D" w14:textId="77777777" w:rsidR="00B2548B" w:rsidRPr="00227127" w:rsidRDefault="00B2548B" w:rsidP="00B2548B"/>
    <w:p w14:paraId="2B7C11DD" w14:textId="77777777" w:rsidR="00663D28" w:rsidRPr="00227127" w:rsidRDefault="00057B0E" w:rsidP="00B2548B">
      <w:pPr>
        <w:jc w:val="center"/>
        <w:rPr>
          <w:b/>
          <w:u w:val="single"/>
        </w:rPr>
      </w:pPr>
      <w:bookmarkStart w:id="0" w:name="_Toc51316955"/>
      <w:r>
        <w:rPr>
          <w:b/>
          <w:u w:val="single"/>
        </w:rPr>
        <w:t>REBUTTAL</w:t>
      </w:r>
      <w:r w:rsidR="00A63F10" w:rsidRPr="00227127">
        <w:rPr>
          <w:b/>
          <w:u w:val="single"/>
        </w:rPr>
        <w:t xml:space="preserve"> TESTIMONY OF </w:t>
      </w:r>
      <w:r w:rsidR="000D6DFF" w:rsidRPr="00227127">
        <w:rPr>
          <w:b/>
          <w:u w:val="single"/>
        </w:rPr>
        <w:t>DOUGLAS JESTER AND MATT COX</w:t>
      </w:r>
      <w:r w:rsidR="00A63F10" w:rsidRPr="00227127">
        <w:rPr>
          <w:b/>
          <w:u w:val="single"/>
        </w:rPr>
        <w:t xml:space="preserve"> </w:t>
      </w:r>
      <w:r w:rsidR="00E84B3D">
        <w:rPr>
          <w:b/>
          <w:u w:val="single"/>
        </w:rPr>
        <w:br/>
      </w:r>
      <w:r w:rsidR="00A63F10" w:rsidRPr="00227127">
        <w:rPr>
          <w:b/>
          <w:u w:val="single"/>
        </w:rPr>
        <w:t xml:space="preserve">ON BEHALF OF GEORGIA INTERFAITH POWER &amp; LIGHT, </w:t>
      </w:r>
      <w:r w:rsidR="00E84B3D">
        <w:rPr>
          <w:b/>
          <w:u w:val="single"/>
        </w:rPr>
        <w:br/>
      </w:r>
      <w:r w:rsidR="00A63F10" w:rsidRPr="00227127">
        <w:rPr>
          <w:b/>
          <w:u w:val="single"/>
        </w:rPr>
        <w:t>SOUTHFACE ENERGY INSTITUTE, AND VOTE SOLAR</w:t>
      </w:r>
      <w:bookmarkEnd w:id="0"/>
    </w:p>
    <w:p w14:paraId="51C60461" w14:textId="77777777" w:rsidR="004B205C" w:rsidRPr="00227127" w:rsidRDefault="004B205C" w:rsidP="00B2548B"/>
    <w:p w14:paraId="34A2E6D0" w14:textId="77777777" w:rsidR="00B2548B" w:rsidRPr="00227127" w:rsidRDefault="00B2548B" w:rsidP="00B2548B"/>
    <w:p w14:paraId="687D90C7" w14:textId="77777777" w:rsidR="00B2548B" w:rsidRPr="00227127" w:rsidRDefault="00B2548B" w:rsidP="00B2548B"/>
    <w:p w14:paraId="34280C9E" w14:textId="77777777" w:rsidR="004B205C" w:rsidRPr="00227127" w:rsidRDefault="004B205C" w:rsidP="00B2548B"/>
    <w:p w14:paraId="7F78D991" w14:textId="77777777" w:rsidR="004B205C" w:rsidRPr="00227127" w:rsidRDefault="004B205C" w:rsidP="00B2548B"/>
    <w:p w14:paraId="5A3F9D84" w14:textId="77777777" w:rsidR="004B205C" w:rsidRPr="00227127" w:rsidRDefault="00057B0E" w:rsidP="00B2548B">
      <w:pPr>
        <w:jc w:val="center"/>
        <w:rPr>
          <w:b/>
        </w:rPr>
      </w:pPr>
      <w:bookmarkStart w:id="1" w:name="_Toc51316956"/>
      <w:r>
        <w:rPr>
          <w:b/>
        </w:rPr>
        <w:t>December 4</w:t>
      </w:r>
      <w:r w:rsidR="000D6DFF" w:rsidRPr="00227127">
        <w:rPr>
          <w:b/>
        </w:rPr>
        <w:t>, 2020</w:t>
      </w:r>
      <w:bookmarkEnd w:id="1"/>
    </w:p>
    <w:p w14:paraId="558AA4F2" w14:textId="77777777" w:rsidR="00DB099D" w:rsidRDefault="00DB099D">
      <w:pPr>
        <w:sectPr w:rsidR="00DB099D" w:rsidSect="00DB099D">
          <w:footerReference w:type="even" r:id="rId7"/>
          <w:footerReference w:type="default" r:id="rId8"/>
          <w:footerReference w:type="first" r:id="rId9"/>
          <w:pgSz w:w="12240" w:h="15840" w:code="1"/>
          <w:pgMar w:top="1440" w:right="1440" w:bottom="1440" w:left="1440" w:header="720" w:footer="720" w:gutter="0"/>
          <w:pgNumType w:fmt="lowerRoman" w:start="1"/>
          <w:cols w:space="720"/>
          <w:docGrid w:linePitch="360"/>
        </w:sectPr>
      </w:pPr>
      <w:r>
        <w:br w:type="page"/>
      </w:r>
    </w:p>
    <w:p w14:paraId="42E6C981" w14:textId="77777777" w:rsidR="00DB099D" w:rsidRDefault="00DB099D"/>
    <w:p w14:paraId="2ACD41CA" w14:textId="77777777" w:rsidR="00663D28" w:rsidRPr="00227127" w:rsidRDefault="00663D28" w:rsidP="00B2548B"/>
    <w:p w14:paraId="1F61B9C0" w14:textId="77777777" w:rsidR="004B205C" w:rsidRPr="00227127" w:rsidRDefault="004B205C" w:rsidP="004B205C">
      <w:pPr>
        <w:pStyle w:val="BodyText"/>
        <w:spacing w:line="480" w:lineRule="auto"/>
        <w:jc w:val="center"/>
        <w:rPr>
          <w:b/>
          <w:u w:val="single"/>
        </w:rPr>
      </w:pPr>
      <w:bookmarkStart w:id="2" w:name="_Toc11174244"/>
      <w:r w:rsidRPr="00227127">
        <w:rPr>
          <w:b/>
          <w:u w:val="single"/>
        </w:rPr>
        <w:t>TABLE OF CONTENTS</w:t>
      </w:r>
    </w:p>
    <w:p w14:paraId="031FCCA7" w14:textId="77777777" w:rsidR="004B205C" w:rsidRPr="00227127" w:rsidRDefault="004B205C" w:rsidP="001D519D">
      <w:pPr>
        <w:pStyle w:val="BodyText"/>
        <w:spacing w:after="0" w:line="480" w:lineRule="auto"/>
        <w:jc w:val="both"/>
      </w:pPr>
      <w:r w:rsidRPr="00227127">
        <w:rPr>
          <w:b/>
          <w:u w:val="single"/>
        </w:rPr>
        <w:t>SECTION</w:t>
      </w:r>
      <w:r w:rsidRPr="00227127">
        <w:rPr>
          <w:b/>
        </w:rPr>
        <w:tab/>
      </w:r>
      <w:r w:rsidRPr="00227127">
        <w:rPr>
          <w:b/>
        </w:rPr>
        <w:tab/>
      </w:r>
      <w:r w:rsidRPr="00227127">
        <w:rPr>
          <w:b/>
        </w:rPr>
        <w:tab/>
      </w:r>
      <w:r w:rsidRPr="00227127">
        <w:rPr>
          <w:b/>
        </w:rPr>
        <w:tab/>
      </w:r>
      <w:r w:rsidRPr="00227127">
        <w:rPr>
          <w:b/>
        </w:rPr>
        <w:tab/>
      </w:r>
      <w:r w:rsidRPr="00227127">
        <w:rPr>
          <w:b/>
        </w:rPr>
        <w:tab/>
      </w:r>
      <w:r w:rsidRPr="00227127">
        <w:rPr>
          <w:b/>
        </w:rPr>
        <w:tab/>
      </w:r>
      <w:r w:rsidRPr="00227127">
        <w:rPr>
          <w:b/>
        </w:rPr>
        <w:tab/>
      </w:r>
      <w:r w:rsidRPr="00227127">
        <w:rPr>
          <w:b/>
        </w:rPr>
        <w:tab/>
      </w:r>
      <w:r w:rsidRPr="00227127">
        <w:rPr>
          <w:b/>
        </w:rPr>
        <w:tab/>
      </w:r>
      <w:r w:rsidRPr="00227127">
        <w:rPr>
          <w:b/>
        </w:rPr>
        <w:tab/>
      </w:r>
      <w:r w:rsidRPr="00227127">
        <w:rPr>
          <w:b/>
          <w:u w:val="single"/>
        </w:rPr>
        <w:t>PAGE</w:t>
      </w:r>
    </w:p>
    <w:sdt>
      <w:sdtPr>
        <w:rPr>
          <w:rFonts w:ascii="Times New Roman" w:hAnsi="Times New Roman" w:cs="Times New Roman"/>
          <w:b w:val="0"/>
          <w:bCs w:val="0"/>
          <w:caps w:val="0"/>
        </w:rPr>
        <w:id w:val="-293597152"/>
        <w:docPartObj>
          <w:docPartGallery w:val="Table of Contents"/>
          <w:docPartUnique/>
        </w:docPartObj>
      </w:sdtPr>
      <w:sdtEndPr>
        <w:rPr>
          <w:noProof/>
        </w:rPr>
      </w:sdtEndPr>
      <w:sdtContent>
        <w:p w14:paraId="75FAC43C" w14:textId="1213E1EB" w:rsidR="00E6242A" w:rsidRPr="009169BF" w:rsidRDefault="00D00D9F" w:rsidP="00731790">
          <w:pPr>
            <w:pStyle w:val="TOC1"/>
            <w:rPr>
              <w:rFonts w:ascii="Times New Roman" w:eastAsiaTheme="minorEastAsia" w:hAnsi="Times New Roman" w:cs="Times New Roman"/>
              <w:b w:val="0"/>
              <w:bCs w:val="0"/>
              <w:caps w:val="0"/>
              <w:noProof/>
              <w:sz w:val="22"/>
              <w:szCs w:val="22"/>
              <w:lang w:eastAsia="en-US"/>
            </w:rPr>
          </w:pPr>
          <w:r>
            <w:fldChar w:fldCharType="begin"/>
          </w:r>
          <w:r>
            <w:instrText xml:space="preserve"> TOC \o "1-3" \h \z \u </w:instrText>
          </w:r>
          <w:r>
            <w:fldChar w:fldCharType="separate"/>
          </w:r>
          <w:hyperlink w:anchor="_Toc57906642" w:history="1">
            <w:r w:rsidR="00E6242A" w:rsidRPr="009169BF">
              <w:rPr>
                <w:rStyle w:val="Hyperlink"/>
                <w:rFonts w:ascii="Times New Roman" w:hAnsi="Times New Roman" w:cs="Times New Roman"/>
                <w:noProof/>
              </w:rPr>
              <w:t>List of Acronyms</w:t>
            </w:r>
            <w:r w:rsidR="00E6242A" w:rsidRPr="009169BF">
              <w:rPr>
                <w:rFonts w:ascii="Times New Roman" w:hAnsi="Times New Roman" w:cs="Times New Roman"/>
                <w:noProof/>
                <w:webHidden/>
              </w:rPr>
              <w:tab/>
            </w:r>
            <w:r w:rsidR="00E6242A" w:rsidRPr="009169BF">
              <w:rPr>
                <w:rFonts w:ascii="Times New Roman" w:hAnsi="Times New Roman" w:cs="Times New Roman"/>
                <w:caps w:val="0"/>
                <w:noProof/>
                <w:webHidden/>
              </w:rPr>
              <w:fldChar w:fldCharType="begin"/>
            </w:r>
            <w:r w:rsidR="00E6242A" w:rsidRPr="009169BF">
              <w:rPr>
                <w:rFonts w:ascii="Times New Roman" w:hAnsi="Times New Roman" w:cs="Times New Roman"/>
                <w:caps w:val="0"/>
                <w:noProof/>
                <w:webHidden/>
              </w:rPr>
              <w:instrText xml:space="preserve"> PAGEREF _Toc57906642 \h </w:instrText>
            </w:r>
            <w:r w:rsidR="00E6242A" w:rsidRPr="009169BF">
              <w:rPr>
                <w:rFonts w:ascii="Times New Roman" w:hAnsi="Times New Roman" w:cs="Times New Roman"/>
                <w:caps w:val="0"/>
                <w:noProof/>
                <w:webHidden/>
              </w:rPr>
            </w:r>
            <w:r w:rsidR="00E6242A" w:rsidRPr="009169BF">
              <w:rPr>
                <w:rFonts w:ascii="Times New Roman" w:hAnsi="Times New Roman" w:cs="Times New Roman"/>
                <w:caps w:val="0"/>
                <w:noProof/>
                <w:webHidden/>
              </w:rPr>
              <w:fldChar w:fldCharType="separate"/>
            </w:r>
            <w:r w:rsidR="0067155A">
              <w:rPr>
                <w:rFonts w:ascii="Times New Roman" w:hAnsi="Times New Roman" w:cs="Times New Roman"/>
                <w:caps w:val="0"/>
                <w:noProof/>
                <w:webHidden/>
              </w:rPr>
              <w:t>i</w:t>
            </w:r>
            <w:r w:rsidR="00E6242A" w:rsidRPr="009169BF">
              <w:rPr>
                <w:rFonts w:ascii="Times New Roman" w:hAnsi="Times New Roman" w:cs="Times New Roman"/>
                <w:caps w:val="0"/>
                <w:noProof/>
                <w:webHidden/>
              </w:rPr>
              <w:fldChar w:fldCharType="end"/>
            </w:r>
          </w:hyperlink>
        </w:p>
        <w:p w14:paraId="30471A07" w14:textId="510EC0C8"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3" w:history="1">
            <w:r w:rsidR="00E6242A" w:rsidRPr="009169BF">
              <w:rPr>
                <w:rStyle w:val="Hyperlink"/>
                <w:rFonts w:ascii="Times New Roman" w:hAnsi="Times New Roman" w:cs="Times New Roman"/>
                <w:noProof/>
              </w:rPr>
              <w:t>I.</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INTRODUCTION &amp; SUMMARY</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_Toc57906643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1</w:t>
            </w:r>
            <w:r w:rsidR="00E6242A" w:rsidRPr="009169BF">
              <w:rPr>
                <w:rFonts w:ascii="Times New Roman" w:hAnsi="Times New Roman" w:cs="Times New Roman"/>
                <w:noProof/>
                <w:webHidden/>
              </w:rPr>
              <w:fldChar w:fldCharType="end"/>
            </w:r>
          </w:hyperlink>
        </w:p>
        <w:p w14:paraId="32BE3C0F" w14:textId="4BD70C35"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4" w:history="1">
            <w:r w:rsidR="00E6242A" w:rsidRPr="009169BF">
              <w:rPr>
                <w:rStyle w:val="Hyperlink"/>
                <w:rFonts w:ascii="Times New Roman" w:hAnsi="Times New Roman" w:cs="Times New Roman"/>
                <w:noProof/>
              </w:rPr>
              <w:t>II.</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 xml:space="preserve">GEORGIA POWER SHOULD INCORPORATE LOCATIONAL </w:t>
            </w:r>
            <w:r w:rsidR="003B092D">
              <w:rPr>
                <w:rStyle w:val="Hyperlink"/>
                <w:rFonts w:ascii="Times New Roman" w:hAnsi="Times New Roman" w:cs="Times New Roman"/>
                <w:noProof/>
              </w:rPr>
              <w:br/>
            </w:r>
            <w:r w:rsidR="00E6242A" w:rsidRPr="009169BF">
              <w:rPr>
                <w:rStyle w:val="Hyperlink"/>
                <w:rFonts w:ascii="Times New Roman" w:hAnsi="Times New Roman" w:cs="Times New Roman"/>
                <w:noProof/>
              </w:rPr>
              <w:t>MARGINAL PRICING TO BETTER ENCOURAGE QF DEVELOPMENT</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_Toc57906644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3</w:t>
            </w:r>
            <w:r w:rsidR="00E6242A" w:rsidRPr="009169BF">
              <w:rPr>
                <w:rFonts w:ascii="Times New Roman" w:hAnsi="Times New Roman" w:cs="Times New Roman"/>
                <w:noProof/>
                <w:webHidden/>
              </w:rPr>
              <w:fldChar w:fldCharType="end"/>
            </w:r>
          </w:hyperlink>
        </w:p>
        <w:p w14:paraId="4712EA29" w14:textId="18FDDABB"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5" w:history="1">
            <w:r w:rsidR="00E6242A" w:rsidRPr="009169BF">
              <w:rPr>
                <w:rStyle w:val="Hyperlink"/>
                <w:rFonts w:ascii="Times New Roman" w:hAnsi="Times New Roman" w:cs="Times New Roman"/>
                <w:noProof/>
              </w:rPr>
              <w:t>III.</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 xml:space="preserve">CONCERNS REGARDING GEORGIA POWER’S PROPOSAL </w:t>
            </w:r>
            <w:r w:rsidR="00EC6862">
              <w:rPr>
                <w:rStyle w:val="Hyperlink"/>
                <w:rFonts w:ascii="Times New Roman" w:hAnsi="Times New Roman" w:cs="Times New Roman"/>
                <w:noProof/>
              </w:rPr>
              <w:br/>
            </w:r>
            <w:r w:rsidR="00E6242A" w:rsidRPr="009169BF">
              <w:rPr>
                <w:rStyle w:val="Hyperlink"/>
                <w:rFonts w:ascii="Times New Roman" w:hAnsi="Times New Roman" w:cs="Times New Roman"/>
                <w:noProof/>
              </w:rPr>
              <w:t xml:space="preserve">TO APPLY ASPECTS OF THE RCB FRAMEWORK </w:t>
            </w:r>
            <w:r w:rsidR="00EC6862">
              <w:rPr>
                <w:rStyle w:val="Hyperlink"/>
                <w:rFonts w:ascii="Times New Roman" w:hAnsi="Times New Roman" w:cs="Times New Roman"/>
                <w:noProof/>
              </w:rPr>
              <w:br/>
            </w:r>
            <w:r w:rsidR="00E6242A" w:rsidRPr="009169BF">
              <w:rPr>
                <w:rStyle w:val="Hyperlink"/>
                <w:rFonts w:ascii="Times New Roman" w:hAnsi="Times New Roman" w:cs="Times New Roman"/>
                <w:noProof/>
              </w:rPr>
              <w:t>TO DETERMINING QF COMPENSATION</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_Toc57906645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12</w:t>
            </w:r>
            <w:r w:rsidR="00E6242A" w:rsidRPr="009169BF">
              <w:rPr>
                <w:rFonts w:ascii="Times New Roman" w:hAnsi="Times New Roman" w:cs="Times New Roman"/>
                <w:noProof/>
                <w:webHidden/>
              </w:rPr>
              <w:fldChar w:fldCharType="end"/>
            </w:r>
          </w:hyperlink>
        </w:p>
        <w:p w14:paraId="3BADF126" w14:textId="1B14AE46"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6" w:history="1">
            <w:r w:rsidR="00E6242A" w:rsidRPr="009169BF">
              <w:rPr>
                <w:rStyle w:val="Hyperlink"/>
                <w:rFonts w:ascii="Times New Roman" w:hAnsi="Times New Roman" w:cs="Times New Roman"/>
                <w:noProof/>
              </w:rPr>
              <w:t>IV.</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 xml:space="preserve">GEORGIA POWER’S STANDARD OFFER </w:t>
            </w:r>
            <w:r w:rsidR="003B092D">
              <w:rPr>
                <w:rStyle w:val="Hyperlink"/>
                <w:rFonts w:ascii="Times New Roman" w:hAnsi="Times New Roman" w:cs="Times New Roman"/>
                <w:noProof/>
              </w:rPr>
              <w:br/>
            </w:r>
            <w:r w:rsidR="00E6242A" w:rsidRPr="009169BF">
              <w:rPr>
                <w:rStyle w:val="Hyperlink"/>
                <w:rFonts w:ascii="Times New Roman" w:hAnsi="Times New Roman" w:cs="Times New Roman"/>
                <w:noProof/>
              </w:rPr>
              <w:t>PURPA PROGRAM IS INADEQUATE</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_Toc57906646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18</w:t>
            </w:r>
            <w:r w:rsidR="00E6242A" w:rsidRPr="009169BF">
              <w:rPr>
                <w:rFonts w:ascii="Times New Roman" w:hAnsi="Times New Roman" w:cs="Times New Roman"/>
                <w:noProof/>
                <w:webHidden/>
              </w:rPr>
              <w:fldChar w:fldCharType="end"/>
            </w:r>
          </w:hyperlink>
        </w:p>
        <w:p w14:paraId="1B0918DF" w14:textId="1CD966C4"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7" w:history="1">
            <w:r w:rsidR="00E6242A" w:rsidRPr="009169BF">
              <w:rPr>
                <w:rStyle w:val="Hyperlink"/>
                <w:rFonts w:ascii="Times New Roman" w:hAnsi="Times New Roman" w:cs="Times New Roman"/>
                <w:noProof/>
              </w:rPr>
              <w:t>V.</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GEORGIA POWER’S STANDARD PURPA OFFERINGS FAIL TO  COMPENSATE SOLAR QFS FOR CAPACITY THAT THEY PROVIDE</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_Toc57906647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26</w:t>
            </w:r>
            <w:r w:rsidR="00E6242A" w:rsidRPr="009169BF">
              <w:rPr>
                <w:rFonts w:ascii="Times New Roman" w:hAnsi="Times New Roman" w:cs="Times New Roman"/>
                <w:noProof/>
                <w:webHidden/>
              </w:rPr>
              <w:fldChar w:fldCharType="end"/>
            </w:r>
          </w:hyperlink>
          <w:bookmarkStart w:id="3" w:name="_GoBack"/>
          <w:bookmarkEnd w:id="3"/>
        </w:p>
        <w:p w14:paraId="470BE33A" w14:textId="73A3130A" w:rsidR="00E6242A" w:rsidRPr="009169BF" w:rsidRDefault="00FD64DA">
          <w:pPr>
            <w:pStyle w:val="TOC1"/>
            <w:rPr>
              <w:rFonts w:ascii="Times New Roman" w:eastAsiaTheme="minorEastAsia" w:hAnsi="Times New Roman" w:cs="Times New Roman"/>
              <w:b w:val="0"/>
              <w:bCs w:val="0"/>
              <w:caps w:val="0"/>
              <w:noProof/>
              <w:sz w:val="22"/>
              <w:szCs w:val="22"/>
              <w:lang w:eastAsia="en-US"/>
            </w:rPr>
          </w:pPr>
          <w:hyperlink w:anchor="_Toc57906648" w:history="1">
            <w:r w:rsidR="00E6242A" w:rsidRPr="009169BF">
              <w:rPr>
                <w:rStyle w:val="Hyperlink"/>
                <w:rFonts w:ascii="Times New Roman" w:hAnsi="Times New Roman" w:cs="Times New Roman"/>
                <w:noProof/>
              </w:rPr>
              <w:t>VI.</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GEORGIA POWER SHOULD PROVIDE A LONG-TERM, FIXED PRICE CONTRACT OPTION FOR ALL QFS, INCLUDING SOLAR QFS</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_Toc57906648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38</w:t>
            </w:r>
            <w:r w:rsidR="00E6242A" w:rsidRPr="009169BF">
              <w:rPr>
                <w:rFonts w:ascii="Times New Roman" w:hAnsi="Times New Roman" w:cs="Times New Roman"/>
                <w:noProof/>
                <w:webHidden/>
              </w:rPr>
              <w:fldChar w:fldCharType="end"/>
            </w:r>
          </w:hyperlink>
        </w:p>
        <w:p w14:paraId="2E18F519" w14:textId="6AFA4970" w:rsidR="00E6242A" w:rsidRDefault="00FD64DA">
          <w:pPr>
            <w:pStyle w:val="TOC1"/>
            <w:rPr>
              <w:rFonts w:asciiTheme="minorHAnsi" w:eastAsiaTheme="minorEastAsia" w:hAnsiTheme="minorHAnsi" w:cstheme="minorBidi"/>
              <w:b w:val="0"/>
              <w:bCs w:val="0"/>
              <w:caps w:val="0"/>
              <w:noProof/>
              <w:sz w:val="22"/>
              <w:szCs w:val="22"/>
              <w:lang w:eastAsia="en-US"/>
            </w:rPr>
          </w:pPr>
          <w:hyperlink w:anchor="_Toc57906649" w:history="1">
            <w:r w:rsidR="00E6242A" w:rsidRPr="009169BF">
              <w:rPr>
                <w:rStyle w:val="Hyperlink"/>
                <w:rFonts w:ascii="Times New Roman" w:hAnsi="Times New Roman" w:cs="Times New Roman"/>
                <w:noProof/>
              </w:rPr>
              <w:t>VII.</w:t>
            </w:r>
            <w:r w:rsidR="00E6242A" w:rsidRPr="009169BF">
              <w:rPr>
                <w:rFonts w:ascii="Times New Roman" w:eastAsiaTheme="minorEastAsia" w:hAnsi="Times New Roman" w:cs="Times New Roman"/>
                <w:b w:val="0"/>
                <w:bCs w:val="0"/>
                <w:caps w:val="0"/>
                <w:noProof/>
                <w:sz w:val="22"/>
                <w:szCs w:val="22"/>
                <w:lang w:eastAsia="en-US"/>
              </w:rPr>
              <w:tab/>
            </w:r>
            <w:r w:rsidR="00E6242A" w:rsidRPr="009169BF">
              <w:rPr>
                <w:rStyle w:val="Hyperlink"/>
                <w:rFonts w:ascii="Times New Roman" w:hAnsi="Times New Roman" w:cs="Times New Roman"/>
                <w:noProof/>
              </w:rPr>
              <w:t>ENERGY EFFICIENCY IS RELEVANT TO THIS PROCEEDING</w:t>
            </w:r>
            <w:r w:rsidR="00E6242A" w:rsidRPr="009169BF">
              <w:rPr>
                <w:rFonts w:ascii="Times New Roman" w:hAnsi="Times New Roman" w:cs="Times New Roman"/>
                <w:noProof/>
                <w:webHidden/>
              </w:rPr>
              <w:tab/>
            </w:r>
            <w:r w:rsidR="00E6242A" w:rsidRPr="009169BF">
              <w:rPr>
                <w:rFonts w:ascii="Times New Roman" w:hAnsi="Times New Roman" w:cs="Times New Roman"/>
                <w:noProof/>
                <w:webHidden/>
              </w:rPr>
              <w:fldChar w:fldCharType="begin"/>
            </w:r>
            <w:r w:rsidR="00E6242A" w:rsidRPr="009169BF">
              <w:rPr>
                <w:rFonts w:ascii="Times New Roman" w:hAnsi="Times New Roman" w:cs="Times New Roman"/>
                <w:noProof/>
                <w:webHidden/>
              </w:rPr>
              <w:instrText xml:space="preserve"> PAGEREF _Toc57906649 \h </w:instrText>
            </w:r>
            <w:r w:rsidR="00E6242A" w:rsidRPr="009169BF">
              <w:rPr>
                <w:rFonts w:ascii="Times New Roman" w:hAnsi="Times New Roman" w:cs="Times New Roman"/>
                <w:noProof/>
                <w:webHidden/>
              </w:rPr>
            </w:r>
            <w:r w:rsidR="00E6242A" w:rsidRPr="009169BF">
              <w:rPr>
                <w:rFonts w:ascii="Times New Roman" w:hAnsi="Times New Roman" w:cs="Times New Roman"/>
                <w:noProof/>
                <w:webHidden/>
              </w:rPr>
              <w:fldChar w:fldCharType="separate"/>
            </w:r>
            <w:r w:rsidR="0067155A">
              <w:rPr>
                <w:rFonts w:ascii="Times New Roman" w:hAnsi="Times New Roman" w:cs="Times New Roman"/>
                <w:noProof/>
                <w:webHidden/>
              </w:rPr>
              <w:t>41</w:t>
            </w:r>
            <w:r w:rsidR="00E6242A" w:rsidRPr="009169BF">
              <w:rPr>
                <w:rFonts w:ascii="Times New Roman" w:hAnsi="Times New Roman" w:cs="Times New Roman"/>
                <w:noProof/>
                <w:webHidden/>
              </w:rPr>
              <w:fldChar w:fldCharType="end"/>
            </w:r>
          </w:hyperlink>
        </w:p>
        <w:p w14:paraId="0E7F8F6F" w14:textId="77777777" w:rsidR="00D00D9F" w:rsidRDefault="00D00D9F">
          <w:r>
            <w:rPr>
              <w:b/>
              <w:bCs/>
              <w:noProof/>
            </w:rPr>
            <w:fldChar w:fldCharType="end"/>
          </w:r>
        </w:p>
      </w:sdtContent>
    </w:sdt>
    <w:p w14:paraId="4EAE5683" w14:textId="77777777" w:rsidR="00434535" w:rsidRDefault="00434535" w:rsidP="00CB2228">
      <w:pPr>
        <w:spacing w:after="240" w:line="276" w:lineRule="auto"/>
        <w:jc w:val="center"/>
        <w:sectPr w:rsidR="00434535" w:rsidSect="00DB099D">
          <w:footerReference w:type="first" r:id="rId10"/>
          <w:pgSz w:w="12240" w:h="15840" w:code="1"/>
          <w:pgMar w:top="1440" w:right="1440" w:bottom="1440" w:left="1440" w:header="720" w:footer="720" w:gutter="0"/>
          <w:pgNumType w:fmt="lowerRoman"/>
          <w:cols w:space="720"/>
          <w:titlePg/>
          <w:docGrid w:linePitch="360"/>
        </w:sectPr>
      </w:pPr>
    </w:p>
    <w:p w14:paraId="1139BA7B" w14:textId="77777777" w:rsidR="00D83BF5" w:rsidRPr="00D00D9F" w:rsidRDefault="00D83BF5" w:rsidP="00D00D9F">
      <w:pPr>
        <w:pStyle w:val="Heading1"/>
        <w:spacing w:before="0" w:after="240" w:line="276" w:lineRule="auto"/>
        <w:jc w:val="center"/>
        <w:rPr>
          <w:rFonts w:ascii="Times New Roman" w:hAnsi="Times New Roman" w:cs="Times New Roman"/>
          <w:color w:val="auto"/>
          <w:sz w:val="24"/>
          <w:szCs w:val="24"/>
        </w:rPr>
      </w:pPr>
      <w:bookmarkStart w:id="4" w:name="_Toc57906642"/>
      <w:bookmarkStart w:id="5" w:name="_Toc50998922"/>
      <w:bookmarkStart w:id="6" w:name="Introduction"/>
      <w:r w:rsidRPr="00D00D9F">
        <w:rPr>
          <w:rFonts w:ascii="Times New Roman" w:hAnsi="Times New Roman" w:cs="Times New Roman"/>
          <w:color w:val="auto"/>
          <w:sz w:val="24"/>
          <w:szCs w:val="24"/>
        </w:rPr>
        <w:lastRenderedPageBreak/>
        <w:t>List of Acronyms</w:t>
      </w:r>
      <w:bookmarkEnd w:id="4"/>
    </w:p>
    <w:p w14:paraId="6EB3C0D2" w14:textId="77777777" w:rsidR="00CC7F45" w:rsidRDefault="00CC7F45">
      <w:pPr>
        <w:spacing w:line="360" w:lineRule="auto"/>
      </w:pPr>
      <w:r>
        <w:t>ASI</w:t>
      </w:r>
      <w:r>
        <w:tab/>
      </w:r>
      <w:r>
        <w:tab/>
        <w:t>Advanced Solar Initiative</w:t>
      </w:r>
    </w:p>
    <w:p w14:paraId="00F924B7" w14:textId="77777777" w:rsidR="00CC7F45" w:rsidRDefault="00CC7F45">
      <w:pPr>
        <w:spacing w:line="360" w:lineRule="auto"/>
      </w:pPr>
      <w:r>
        <w:t>CRSP</w:t>
      </w:r>
      <w:r>
        <w:tab/>
      </w:r>
      <w:r>
        <w:tab/>
      </w:r>
      <w:r w:rsidRPr="00227127">
        <w:t>Customer Renewable Supply Procurement</w:t>
      </w:r>
    </w:p>
    <w:p w14:paraId="71022DA9" w14:textId="77777777" w:rsidR="007A043D" w:rsidRDefault="007A043D" w:rsidP="00D664B0">
      <w:pPr>
        <w:spacing w:line="360" w:lineRule="auto"/>
      </w:pPr>
      <w:r>
        <w:t>BTM</w:t>
      </w:r>
      <w:r>
        <w:tab/>
      </w:r>
      <w:r>
        <w:tab/>
        <w:t>Behind-the-Meter</w:t>
      </w:r>
    </w:p>
    <w:p w14:paraId="7B9E9A89" w14:textId="77777777" w:rsidR="00E84B3D" w:rsidRDefault="00E84B3D" w:rsidP="00D664B0">
      <w:pPr>
        <w:spacing w:line="360" w:lineRule="auto"/>
      </w:pPr>
      <w:r w:rsidRPr="00227127">
        <w:t>DG</w:t>
      </w:r>
      <w:r w:rsidRPr="00227127">
        <w:tab/>
      </w:r>
      <w:r w:rsidRPr="00227127">
        <w:tab/>
        <w:t>Distributed Generation</w:t>
      </w:r>
    </w:p>
    <w:p w14:paraId="0E9B85F7" w14:textId="77777777" w:rsidR="00B624EB" w:rsidRDefault="00B624EB" w:rsidP="00D664B0">
      <w:pPr>
        <w:spacing w:line="360" w:lineRule="auto"/>
      </w:pPr>
      <w:r>
        <w:t>DSM</w:t>
      </w:r>
      <w:r>
        <w:tab/>
      </w:r>
      <w:r>
        <w:tab/>
      </w:r>
      <w:r w:rsidRPr="00227127">
        <w:t>Demand Side Management</w:t>
      </w:r>
    </w:p>
    <w:p w14:paraId="7F6F0282" w14:textId="77777777" w:rsidR="00E84B3D" w:rsidRDefault="00E84B3D" w:rsidP="00D664B0">
      <w:pPr>
        <w:spacing w:line="360" w:lineRule="auto"/>
      </w:pPr>
      <w:r w:rsidRPr="00227127">
        <w:t>EIA</w:t>
      </w:r>
      <w:r w:rsidRPr="00227127">
        <w:tab/>
      </w:r>
      <w:r w:rsidRPr="00227127">
        <w:tab/>
        <w:t>Energy Information Administration</w:t>
      </w:r>
    </w:p>
    <w:p w14:paraId="60C034C1" w14:textId="77777777" w:rsidR="00E84B3D" w:rsidRPr="00FD07EE" w:rsidRDefault="00E84B3D" w:rsidP="00D664B0">
      <w:pPr>
        <w:spacing w:line="360" w:lineRule="auto"/>
      </w:pPr>
      <w:r w:rsidRPr="00FD07EE">
        <w:t>ELCC</w:t>
      </w:r>
      <w:r w:rsidRPr="00FD07EE">
        <w:tab/>
      </w:r>
      <w:r w:rsidRPr="00FD07EE">
        <w:tab/>
        <w:t>Effective Load Carrying Capacity</w:t>
      </w:r>
    </w:p>
    <w:p w14:paraId="48B4AFF2" w14:textId="77777777" w:rsidR="00E84B3D" w:rsidRPr="00227127" w:rsidRDefault="00E84B3D" w:rsidP="00D664B0">
      <w:pPr>
        <w:spacing w:line="360" w:lineRule="auto"/>
      </w:pPr>
      <w:r w:rsidRPr="00227127">
        <w:t>FERC</w:t>
      </w:r>
      <w:r w:rsidRPr="00227127">
        <w:tab/>
      </w:r>
      <w:r w:rsidRPr="00227127">
        <w:tab/>
        <w:t>Federal Energy Regulatory Commission</w:t>
      </w:r>
    </w:p>
    <w:p w14:paraId="56CEBCF7" w14:textId="77777777" w:rsidR="00E84B3D" w:rsidRDefault="00E84B3D" w:rsidP="00D664B0">
      <w:pPr>
        <w:spacing w:line="360" w:lineRule="auto"/>
      </w:pPr>
      <w:r>
        <w:t>GLSSA</w:t>
      </w:r>
      <w:r>
        <w:tab/>
        <w:t>Georgia Large Scale Solar Association</w:t>
      </w:r>
    </w:p>
    <w:p w14:paraId="543438B4" w14:textId="77777777" w:rsidR="00E84B3D" w:rsidRDefault="00E84B3D" w:rsidP="00D664B0">
      <w:pPr>
        <w:spacing w:line="360" w:lineRule="auto"/>
      </w:pPr>
      <w:r w:rsidRPr="00227127">
        <w:t>GPC</w:t>
      </w:r>
      <w:r w:rsidRPr="00227127">
        <w:tab/>
      </w:r>
      <w:r w:rsidRPr="00227127">
        <w:tab/>
        <w:t xml:space="preserve">Georgia Power Company </w:t>
      </w:r>
    </w:p>
    <w:p w14:paraId="72703D96" w14:textId="77777777" w:rsidR="00E84B3D" w:rsidRPr="00C919E0" w:rsidRDefault="00E84B3D" w:rsidP="00D664B0">
      <w:pPr>
        <w:spacing w:line="360" w:lineRule="auto"/>
      </w:pPr>
      <w:r w:rsidRPr="00C919E0">
        <w:t>GW</w:t>
      </w:r>
      <w:r w:rsidRPr="00C919E0">
        <w:tab/>
      </w:r>
      <w:r w:rsidRPr="00C919E0">
        <w:tab/>
        <w:t xml:space="preserve">Gigawatt </w:t>
      </w:r>
    </w:p>
    <w:p w14:paraId="56F7886B" w14:textId="77777777" w:rsidR="00E84B3D" w:rsidRPr="00227127" w:rsidRDefault="00E84B3D" w:rsidP="00D664B0">
      <w:pPr>
        <w:spacing w:line="360" w:lineRule="auto"/>
      </w:pPr>
      <w:r w:rsidRPr="00227127">
        <w:t>IRP</w:t>
      </w:r>
      <w:r w:rsidRPr="00227127">
        <w:tab/>
      </w:r>
      <w:r w:rsidRPr="00227127">
        <w:tab/>
        <w:t xml:space="preserve">Integrated Resource Plan </w:t>
      </w:r>
    </w:p>
    <w:p w14:paraId="7139647C" w14:textId="77777777" w:rsidR="007A043D" w:rsidRPr="00227127" w:rsidRDefault="007A043D" w:rsidP="00D664B0">
      <w:pPr>
        <w:spacing w:line="360" w:lineRule="auto"/>
      </w:pPr>
      <w:r w:rsidRPr="00227127">
        <w:t>kW</w:t>
      </w:r>
      <w:r w:rsidRPr="00227127">
        <w:tab/>
      </w:r>
      <w:r w:rsidRPr="00227127">
        <w:tab/>
        <w:t>Kilowatt</w:t>
      </w:r>
    </w:p>
    <w:p w14:paraId="41D0CD4D" w14:textId="77777777" w:rsidR="00E84B3D" w:rsidRDefault="00E84B3D">
      <w:pPr>
        <w:spacing w:line="360" w:lineRule="auto"/>
      </w:pPr>
      <w:r w:rsidRPr="00227127">
        <w:t>LMP</w:t>
      </w:r>
      <w:r w:rsidRPr="00227127">
        <w:tab/>
      </w:r>
      <w:r w:rsidRPr="00227127">
        <w:tab/>
        <w:t xml:space="preserve">Locational Marginal Pricing </w:t>
      </w:r>
    </w:p>
    <w:p w14:paraId="0260DE50" w14:textId="77777777" w:rsidR="00CC7F45" w:rsidRDefault="00CC7F45" w:rsidP="00D664B0">
      <w:pPr>
        <w:spacing w:line="360" w:lineRule="auto"/>
      </w:pPr>
      <w:r>
        <w:t>LSS</w:t>
      </w:r>
      <w:r>
        <w:tab/>
      </w:r>
      <w:r>
        <w:tab/>
        <w:t>Large Scale Solar Program</w:t>
      </w:r>
    </w:p>
    <w:p w14:paraId="593D66A6" w14:textId="77777777" w:rsidR="00E84B3D" w:rsidRDefault="00E84B3D" w:rsidP="00D664B0">
      <w:pPr>
        <w:spacing w:line="360" w:lineRule="auto"/>
      </w:pPr>
      <w:r w:rsidRPr="00227127">
        <w:t xml:space="preserve">MISO </w:t>
      </w:r>
      <w:r w:rsidRPr="00227127">
        <w:tab/>
      </w:r>
      <w:r w:rsidRPr="00227127">
        <w:tab/>
        <w:t xml:space="preserve">Midcontinent Independent System Operator </w:t>
      </w:r>
    </w:p>
    <w:p w14:paraId="2397C201" w14:textId="77777777" w:rsidR="00E84B3D" w:rsidRDefault="00E84B3D" w:rsidP="00D664B0">
      <w:pPr>
        <w:spacing w:line="360" w:lineRule="auto"/>
      </w:pPr>
      <w:r w:rsidRPr="00227127">
        <w:t>MW</w:t>
      </w:r>
      <w:r w:rsidRPr="00227127">
        <w:tab/>
      </w:r>
      <w:r w:rsidRPr="00227127">
        <w:tab/>
        <w:t>Megawatt</w:t>
      </w:r>
    </w:p>
    <w:p w14:paraId="0FFA66B9" w14:textId="77777777" w:rsidR="007A043D" w:rsidRPr="00227127" w:rsidRDefault="007A043D" w:rsidP="00D664B0">
      <w:pPr>
        <w:spacing w:line="360" w:lineRule="auto"/>
      </w:pPr>
      <w:r w:rsidRPr="00227127">
        <w:t>MWh</w:t>
      </w:r>
      <w:r w:rsidRPr="00227127">
        <w:tab/>
      </w:r>
      <w:r w:rsidRPr="00227127">
        <w:tab/>
        <w:t>Megawatt-Hour</w:t>
      </w:r>
    </w:p>
    <w:p w14:paraId="14439031" w14:textId="77777777" w:rsidR="00E84B3D" w:rsidRPr="00227127" w:rsidRDefault="00E84B3D" w:rsidP="00D664B0">
      <w:pPr>
        <w:spacing w:line="360" w:lineRule="auto"/>
      </w:pPr>
      <w:r w:rsidRPr="00227127">
        <w:t>PPA</w:t>
      </w:r>
      <w:r w:rsidRPr="00227127">
        <w:tab/>
      </w:r>
      <w:r w:rsidRPr="00227127">
        <w:tab/>
        <w:t>Power Purchase Agreement</w:t>
      </w:r>
    </w:p>
    <w:p w14:paraId="7EFF5820" w14:textId="77777777" w:rsidR="007A043D" w:rsidRPr="00227127" w:rsidRDefault="007A043D" w:rsidP="00D664B0">
      <w:pPr>
        <w:spacing w:line="360" w:lineRule="auto"/>
      </w:pPr>
      <w:r w:rsidRPr="00227127">
        <w:t xml:space="preserve">PSO </w:t>
      </w:r>
      <w:r w:rsidRPr="00227127">
        <w:tab/>
      </w:r>
      <w:r w:rsidRPr="00227127">
        <w:tab/>
        <w:t xml:space="preserve">Procedural and Scheduling Order </w:t>
      </w:r>
    </w:p>
    <w:p w14:paraId="24E4C9E6" w14:textId="77777777" w:rsidR="00E84B3D" w:rsidRDefault="00E84B3D" w:rsidP="00D664B0">
      <w:pPr>
        <w:spacing w:line="360" w:lineRule="auto"/>
      </w:pPr>
      <w:r w:rsidRPr="00227127">
        <w:t>PURPA</w:t>
      </w:r>
      <w:r w:rsidRPr="00227127">
        <w:tab/>
        <w:t>Public Utility Regulatory Policies Act</w:t>
      </w:r>
    </w:p>
    <w:p w14:paraId="78224335" w14:textId="77777777" w:rsidR="00E84B3D" w:rsidRDefault="00E84B3D" w:rsidP="00D664B0">
      <w:pPr>
        <w:spacing w:line="360" w:lineRule="auto"/>
      </w:pPr>
      <w:r w:rsidRPr="00227127">
        <w:t>QF</w:t>
      </w:r>
      <w:r w:rsidRPr="00227127">
        <w:tab/>
      </w:r>
      <w:r w:rsidRPr="00227127">
        <w:tab/>
        <w:t>Qualifying Facility</w:t>
      </w:r>
    </w:p>
    <w:p w14:paraId="55795378" w14:textId="77777777" w:rsidR="00E84B3D" w:rsidRDefault="00E84B3D">
      <w:pPr>
        <w:spacing w:line="360" w:lineRule="auto"/>
      </w:pPr>
      <w:r w:rsidRPr="00227127">
        <w:t>RCB</w:t>
      </w:r>
      <w:r w:rsidRPr="00227127">
        <w:tab/>
      </w:r>
      <w:r w:rsidRPr="00227127">
        <w:tab/>
        <w:t xml:space="preserve">Renewable Cost Benefit </w:t>
      </w:r>
    </w:p>
    <w:p w14:paraId="2A840F51" w14:textId="77777777" w:rsidR="00CC7F45" w:rsidRDefault="00CC7F45" w:rsidP="00D664B0">
      <w:pPr>
        <w:spacing w:line="360" w:lineRule="auto"/>
      </w:pPr>
      <w:r>
        <w:t>REDI</w:t>
      </w:r>
      <w:r>
        <w:tab/>
      </w:r>
      <w:r>
        <w:tab/>
      </w:r>
      <w:r w:rsidRPr="00227127">
        <w:t>Renewable Energy Development Initiative</w:t>
      </w:r>
    </w:p>
    <w:p w14:paraId="274C5F68" w14:textId="77777777" w:rsidR="00E84B3D" w:rsidRPr="00227127" w:rsidRDefault="00E84B3D" w:rsidP="00D664B0">
      <w:pPr>
        <w:spacing w:line="360" w:lineRule="auto"/>
      </w:pPr>
      <w:r w:rsidRPr="00227127">
        <w:t>RFP</w:t>
      </w:r>
      <w:r w:rsidRPr="00227127">
        <w:tab/>
      </w:r>
      <w:r w:rsidRPr="00227127">
        <w:tab/>
        <w:t>Request for Proposals</w:t>
      </w:r>
    </w:p>
    <w:p w14:paraId="37F4EF79" w14:textId="77777777" w:rsidR="00E84B3D" w:rsidRDefault="00E84B3D" w:rsidP="00D664B0">
      <w:pPr>
        <w:spacing w:line="360" w:lineRule="auto"/>
      </w:pPr>
      <w:r w:rsidRPr="00227127">
        <w:t>RNR</w:t>
      </w:r>
      <w:r w:rsidRPr="00227127">
        <w:tab/>
      </w:r>
      <w:r w:rsidRPr="00227127">
        <w:tab/>
        <w:t>Renewable and Nonrenewable Resources</w:t>
      </w:r>
    </w:p>
    <w:p w14:paraId="4A93D4DD" w14:textId="77777777" w:rsidR="00316F13" w:rsidRPr="00227127" w:rsidRDefault="00316F13" w:rsidP="00D664B0">
      <w:pPr>
        <w:spacing w:line="360" w:lineRule="auto"/>
      </w:pPr>
      <w:r>
        <w:t>RTO</w:t>
      </w:r>
      <w:r>
        <w:tab/>
      </w:r>
      <w:r>
        <w:tab/>
        <w:t>Regional Transmission Organization</w:t>
      </w:r>
    </w:p>
    <w:p w14:paraId="245A0F4F" w14:textId="77777777" w:rsidR="00CC7F45" w:rsidRDefault="00E84B3D" w:rsidP="00D664B0">
      <w:pPr>
        <w:spacing w:line="360" w:lineRule="auto"/>
      </w:pPr>
      <w:r>
        <w:t>SPP</w:t>
      </w:r>
      <w:r>
        <w:tab/>
      </w:r>
      <w:r>
        <w:tab/>
        <w:t>Southwest Power Pool</w:t>
      </w:r>
    </w:p>
    <w:p w14:paraId="2E0A0831" w14:textId="77777777" w:rsidR="00D83BF5" w:rsidRDefault="00CC7F45" w:rsidP="00D83BF5">
      <w:pPr>
        <w:spacing w:after="20" w:line="276" w:lineRule="auto"/>
      </w:pPr>
      <w:r>
        <w:t>T&amp;D</w:t>
      </w:r>
      <w:r>
        <w:tab/>
      </w:r>
      <w:r>
        <w:tab/>
        <w:t>Transmission &amp; Distribution</w:t>
      </w:r>
    </w:p>
    <w:p w14:paraId="51E90602" w14:textId="77777777" w:rsidR="00E84B3D" w:rsidRDefault="00E84B3D" w:rsidP="00D83BF5">
      <w:pPr>
        <w:spacing w:after="20" w:line="276" w:lineRule="auto"/>
        <w:rPr>
          <w:b/>
        </w:rPr>
      </w:pPr>
    </w:p>
    <w:p w14:paraId="73985C21" w14:textId="77777777" w:rsidR="00E84B3D" w:rsidRPr="00227127" w:rsidRDefault="00E84B3D" w:rsidP="00D83BF5">
      <w:pPr>
        <w:spacing w:after="20" w:line="276" w:lineRule="auto"/>
        <w:rPr>
          <w:b/>
        </w:rPr>
        <w:sectPr w:rsidR="00E84B3D" w:rsidRPr="00227127" w:rsidSect="003869F3">
          <w:headerReference w:type="default" r:id="rId11"/>
          <w:footerReference w:type="first" r:id="rId12"/>
          <w:pgSz w:w="12240" w:h="15840" w:code="1"/>
          <w:pgMar w:top="1440" w:right="1440" w:bottom="1440" w:left="1440" w:header="720" w:footer="720" w:gutter="0"/>
          <w:pgNumType w:fmt="lowerRoman" w:start="1"/>
          <w:cols w:space="720"/>
          <w:titlePg/>
          <w:docGrid w:linePitch="360"/>
        </w:sectPr>
      </w:pPr>
    </w:p>
    <w:p w14:paraId="37136349" w14:textId="77777777" w:rsidR="00663D28" w:rsidRPr="00573F5F" w:rsidRDefault="00663D28" w:rsidP="009169BF">
      <w:pPr>
        <w:pStyle w:val="OutlineL1"/>
        <w:numPr>
          <w:ilvl w:val="0"/>
          <w:numId w:val="72"/>
        </w:numPr>
        <w:spacing w:after="240" w:line="360" w:lineRule="auto"/>
        <w:rPr>
          <w:szCs w:val="24"/>
        </w:rPr>
      </w:pPr>
      <w:bookmarkStart w:id="7" w:name="_Toc57906643"/>
      <w:r w:rsidRPr="00573F5F">
        <w:rPr>
          <w:szCs w:val="24"/>
        </w:rPr>
        <w:lastRenderedPageBreak/>
        <w:t>INTRODUCTION</w:t>
      </w:r>
      <w:bookmarkEnd w:id="2"/>
      <w:r w:rsidR="007B5619" w:rsidRPr="00573F5F">
        <w:rPr>
          <w:szCs w:val="24"/>
        </w:rPr>
        <w:t xml:space="preserve"> &amp; SUMMARY</w:t>
      </w:r>
      <w:bookmarkEnd w:id="5"/>
      <w:bookmarkEnd w:id="7"/>
    </w:p>
    <w:bookmarkEnd w:id="6"/>
    <w:p w14:paraId="7DD4C6C0" w14:textId="77777777" w:rsidR="00663D28" w:rsidRPr="00227127" w:rsidRDefault="00663D28" w:rsidP="007D4DF7">
      <w:pPr>
        <w:spacing w:line="480" w:lineRule="auto"/>
        <w:ind w:left="720" w:hanging="720"/>
        <w:jc w:val="both"/>
        <w:rPr>
          <w:b/>
        </w:rPr>
      </w:pPr>
      <w:r w:rsidRPr="00227127">
        <w:rPr>
          <w:b/>
        </w:rPr>
        <w:t>Q.</w:t>
      </w:r>
      <w:r w:rsidRPr="00227127">
        <w:rPr>
          <w:b/>
        </w:rPr>
        <w:tab/>
      </w:r>
      <w:r w:rsidR="00E743FC">
        <w:rPr>
          <w:b/>
        </w:rPr>
        <w:t xml:space="preserve">Please state your names, titles and businesses addresses. </w:t>
      </w:r>
    </w:p>
    <w:p w14:paraId="66D9AEC8" w14:textId="77777777" w:rsidR="00663D28" w:rsidRPr="00227127" w:rsidRDefault="00663D28" w:rsidP="00CD56C0">
      <w:pPr>
        <w:spacing w:line="480" w:lineRule="auto"/>
        <w:ind w:left="720" w:hanging="720"/>
        <w:jc w:val="both"/>
      </w:pPr>
      <w:r w:rsidRPr="00227127">
        <w:t>A.</w:t>
      </w:r>
      <w:r w:rsidRPr="00227127">
        <w:tab/>
      </w:r>
      <w:r w:rsidR="000D6DFF" w:rsidRPr="00227127">
        <w:t xml:space="preserve">My name is Matt Cox. I am the Chief Executive Officer at </w:t>
      </w:r>
      <w:proofErr w:type="spellStart"/>
      <w:r w:rsidR="000D6DFF" w:rsidRPr="00227127">
        <w:t>Greenlink</w:t>
      </w:r>
      <w:proofErr w:type="spellEnd"/>
      <w:r w:rsidR="000D6DFF" w:rsidRPr="00227127">
        <w:t xml:space="preserve"> Analytics,</w:t>
      </w:r>
      <w:r w:rsidR="00977AA2" w:rsidRPr="00227127">
        <w:t xml:space="preserve"> Inc</w:t>
      </w:r>
      <w:r w:rsidR="00DD3B67" w:rsidRPr="00227127">
        <w:t>.</w:t>
      </w:r>
      <w:r w:rsidR="00977AA2" w:rsidRPr="00227127">
        <w:t xml:space="preserve">, </w:t>
      </w:r>
      <w:r w:rsidR="00CD56C0">
        <w:br/>
      </w:r>
      <w:r w:rsidR="00977AA2" w:rsidRPr="00227127">
        <w:t>a scientific energy research non-profit organization</w:t>
      </w:r>
      <w:r w:rsidR="000D6DFF" w:rsidRPr="00227127">
        <w:t xml:space="preserve"> located at 695 </w:t>
      </w:r>
      <w:proofErr w:type="spellStart"/>
      <w:r w:rsidR="000D6DFF" w:rsidRPr="00227127">
        <w:t>Pylant</w:t>
      </w:r>
      <w:proofErr w:type="spellEnd"/>
      <w:r w:rsidR="000D6DFF" w:rsidRPr="00227127">
        <w:t xml:space="preserve"> Street NE, Suite 110, Atlanta, GA 30306.</w:t>
      </w:r>
      <w:r w:rsidR="00BB0455" w:rsidRPr="00227127">
        <w:tab/>
      </w:r>
      <w:r w:rsidR="00BB0455" w:rsidRPr="00227127">
        <w:tab/>
      </w:r>
      <w:r w:rsidR="00BB0455" w:rsidRPr="00227127">
        <w:tab/>
      </w:r>
    </w:p>
    <w:p w14:paraId="48131263" w14:textId="77777777" w:rsidR="00663D28" w:rsidRPr="00227127" w:rsidRDefault="00663D28" w:rsidP="00CD56C0">
      <w:pPr>
        <w:pStyle w:val="ListParagraph"/>
        <w:spacing w:line="480" w:lineRule="auto"/>
        <w:ind w:hanging="720"/>
        <w:contextualSpacing w:val="0"/>
        <w:jc w:val="both"/>
      </w:pPr>
      <w:r w:rsidRPr="00227127">
        <w:t>A.</w:t>
      </w:r>
      <w:r w:rsidR="000D6DFF" w:rsidRPr="00227127">
        <w:t xml:space="preserve"> </w:t>
      </w:r>
      <w:r w:rsidR="000D6DFF" w:rsidRPr="00227127">
        <w:tab/>
        <w:t>My name is Douglas B. Jester. I am a Partner of 5 Lakes Energy LLC, a Michigan limited liability corporation, located at</w:t>
      </w:r>
      <w:r w:rsidR="000D6DFF" w:rsidRPr="00227127">
        <w:rPr>
          <w:spacing w:val="-2"/>
        </w:rPr>
        <w:t xml:space="preserve"> </w:t>
      </w:r>
      <w:r w:rsidR="000D6DFF" w:rsidRPr="00227127">
        <w:t>Suite 710, 115 W Allegan Street, Lansing, Michigan 48933.</w:t>
      </w:r>
    </w:p>
    <w:p w14:paraId="1EB530BD" w14:textId="77777777" w:rsidR="00663D28" w:rsidRPr="00227127" w:rsidRDefault="000D6DFF" w:rsidP="00CD56C0">
      <w:pPr>
        <w:spacing w:line="480" w:lineRule="auto"/>
        <w:ind w:left="720" w:hanging="720"/>
        <w:jc w:val="both"/>
        <w:rPr>
          <w:b/>
        </w:rPr>
      </w:pPr>
      <w:r w:rsidRPr="00227127">
        <w:rPr>
          <w:b/>
        </w:rPr>
        <w:t>Q.</w:t>
      </w:r>
      <w:r w:rsidRPr="00227127">
        <w:rPr>
          <w:b/>
        </w:rPr>
        <w:tab/>
      </w:r>
      <w:r w:rsidR="00E743FC">
        <w:rPr>
          <w:b/>
        </w:rPr>
        <w:t xml:space="preserve">Dr. Cox &amp; Mr. Jester, did you present direct testimony and exhibits on behalf of Georgia Interfaith Power &amp; Light, </w:t>
      </w:r>
      <w:proofErr w:type="spellStart"/>
      <w:r w:rsidR="00E743FC">
        <w:rPr>
          <w:b/>
        </w:rPr>
        <w:t>Southface</w:t>
      </w:r>
      <w:proofErr w:type="spellEnd"/>
      <w:r w:rsidR="002D5817">
        <w:rPr>
          <w:b/>
        </w:rPr>
        <w:t xml:space="preserve"> Energy Institute</w:t>
      </w:r>
      <w:r w:rsidR="00E743FC">
        <w:rPr>
          <w:b/>
        </w:rPr>
        <w:t xml:space="preserve">, and Vote Solar in this proceeding? </w:t>
      </w:r>
    </w:p>
    <w:p w14:paraId="281B9528" w14:textId="77777777" w:rsidR="00D36DDC" w:rsidRPr="00227127" w:rsidRDefault="00663D28" w:rsidP="00CD56C0">
      <w:pPr>
        <w:spacing w:line="480" w:lineRule="auto"/>
        <w:ind w:left="720" w:hanging="720"/>
        <w:jc w:val="both"/>
      </w:pPr>
      <w:r w:rsidRPr="00227127">
        <w:t>A.</w:t>
      </w:r>
      <w:r w:rsidRPr="00227127">
        <w:tab/>
      </w:r>
      <w:r w:rsidR="00C34978">
        <w:t>Yes.</w:t>
      </w:r>
      <w:r w:rsidR="00057B0E">
        <w:t xml:space="preserve"> </w:t>
      </w:r>
    </w:p>
    <w:p w14:paraId="4535F8D9" w14:textId="77777777" w:rsidR="00663D28" w:rsidRPr="00227127" w:rsidRDefault="009E76B7" w:rsidP="00B2548B">
      <w:pPr>
        <w:spacing w:line="480" w:lineRule="auto"/>
        <w:ind w:left="720" w:hanging="720"/>
        <w:jc w:val="both"/>
        <w:rPr>
          <w:b/>
        </w:rPr>
      </w:pPr>
      <w:bookmarkStart w:id="8" w:name="_Toc51316959"/>
      <w:r w:rsidRPr="00227127">
        <w:rPr>
          <w:b/>
        </w:rPr>
        <w:t>Q.</w:t>
      </w:r>
      <w:r w:rsidRPr="00227127">
        <w:rPr>
          <w:b/>
        </w:rPr>
        <w:tab/>
      </w:r>
      <w:r w:rsidR="00E743FC">
        <w:rPr>
          <w:b/>
        </w:rPr>
        <w:t xml:space="preserve">What is the purpose of your rebuttal testimony? </w:t>
      </w:r>
      <w:bookmarkEnd w:id="8"/>
    </w:p>
    <w:p w14:paraId="42986417" w14:textId="77777777" w:rsidR="00DF140D" w:rsidRDefault="00D03738" w:rsidP="00DF140D">
      <w:pPr>
        <w:spacing w:line="480" w:lineRule="auto"/>
        <w:ind w:left="720" w:hanging="720"/>
        <w:jc w:val="both"/>
      </w:pPr>
      <w:r w:rsidRPr="00227127">
        <w:t>A.</w:t>
      </w:r>
      <w:r w:rsidRPr="00227127">
        <w:tab/>
      </w:r>
      <w:r w:rsidR="00C34978">
        <w:t>We are</w:t>
      </w:r>
      <w:r w:rsidRPr="00227127">
        <w:t xml:space="preserve"> </w:t>
      </w:r>
      <w:r w:rsidR="00057B0E">
        <w:t>respond</w:t>
      </w:r>
      <w:r w:rsidR="00C34978">
        <w:t xml:space="preserve">ing to the written direct testimony filed by </w:t>
      </w:r>
      <w:r w:rsidR="00102CE9">
        <w:t xml:space="preserve">Georgia Power Company (GPC) and </w:t>
      </w:r>
      <w:r w:rsidR="00C34978">
        <w:t>other parties to this proceeding</w:t>
      </w:r>
      <w:r w:rsidR="007A043D">
        <w:t xml:space="preserve">, </w:t>
      </w:r>
      <w:r w:rsidR="007A043D" w:rsidRPr="00F50583">
        <w:t>as well as testimony provided at the first set of hearings</w:t>
      </w:r>
      <w:r w:rsidR="00C34978">
        <w:t xml:space="preserve">. </w:t>
      </w:r>
      <w:r w:rsidR="00057B0E">
        <w:t xml:space="preserve"> As with our direct testimony, our rebuttal testimony</w:t>
      </w:r>
      <w:r w:rsidR="00F40CB7" w:rsidRPr="00227127">
        <w:t xml:space="preserve"> seek</w:t>
      </w:r>
      <w:r w:rsidR="00057B0E">
        <w:t>s</w:t>
      </w:r>
      <w:r w:rsidR="00F40CB7" w:rsidRPr="00227127">
        <w:t xml:space="preserve"> to ensure that GPC’s avoided cost methodology</w:t>
      </w:r>
      <w:r w:rsidR="0089150F" w:rsidRPr="00227127">
        <w:t xml:space="preserve"> and calculations</w:t>
      </w:r>
      <w:r w:rsidR="00F40CB7" w:rsidRPr="00227127">
        <w:t xml:space="preserve"> and standard offer contracts provide sufficient and fair opportunities for renewable energy projects to access Georgia</w:t>
      </w:r>
      <w:r w:rsidR="004B5AEF">
        <w:t>’s</w:t>
      </w:r>
      <w:r w:rsidR="00F40CB7" w:rsidRPr="00227127">
        <w:t xml:space="preserve"> electricity market</w:t>
      </w:r>
      <w:r w:rsidR="00C34978">
        <w:t xml:space="preserve">, as well as </w:t>
      </w:r>
      <w:r w:rsidR="00C34978" w:rsidRPr="00C34978">
        <w:t>comply with PURPA</w:t>
      </w:r>
      <w:r w:rsidR="00C34978">
        <w:t>, which this Commission is charged with implementing</w:t>
      </w:r>
      <w:r w:rsidR="00F40CB7" w:rsidRPr="00227127">
        <w:t xml:space="preserve">. </w:t>
      </w:r>
      <w:r w:rsidR="00DF140D">
        <w:br w:type="page"/>
      </w:r>
    </w:p>
    <w:p w14:paraId="6B44963A" w14:textId="77777777" w:rsidR="00BC74E4" w:rsidRPr="00227127" w:rsidRDefault="0089150F" w:rsidP="00605F85">
      <w:pPr>
        <w:spacing w:line="480" w:lineRule="auto"/>
        <w:jc w:val="both"/>
        <w:rPr>
          <w:b/>
        </w:rPr>
      </w:pPr>
      <w:r w:rsidRPr="00227127">
        <w:rPr>
          <w:b/>
        </w:rPr>
        <w:lastRenderedPageBreak/>
        <w:t>Q.</w:t>
      </w:r>
      <w:r w:rsidRPr="00227127">
        <w:rPr>
          <w:b/>
        </w:rPr>
        <w:tab/>
      </w:r>
      <w:r w:rsidR="00BC74E4" w:rsidRPr="00F50583">
        <w:rPr>
          <w:b/>
        </w:rPr>
        <w:t>P</w:t>
      </w:r>
      <w:r w:rsidR="00E743FC" w:rsidRPr="00F50583">
        <w:rPr>
          <w:b/>
        </w:rPr>
        <w:t>lease summarize your testimony</w:t>
      </w:r>
      <w:r w:rsidR="00057B0E">
        <w:rPr>
          <w:b/>
        </w:rPr>
        <w:t>.</w:t>
      </w:r>
    </w:p>
    <w:p w14:paraId="41442109" w14:textId="77777777" w:rsidR="00102029" w:rsidRDefault="00BC74E4" w:rsidP="00D664B0">
      <w:pPr>
        <w:spacing w:line="480" w:lineRule="auto"/>
        <w:ind w:left="720" w:hanging="720"/>
        <w:jc w:val="both"/>
        <w:rPr>
          <w:b/>
        </w:rPr>
      </w:pPr>
      <w:r w:rsidRPr="00227127">
        <w:t>A.</w:t>
      </w:r>
      <w:r w:rsidR="00CD56C0">
        <w:tab/>
        <w:t xml:space="preserve">Our rebuttal testimony builds on recommendations set out in our direct testimony and responds to Georgia Power’s proposals. Specifically, we urge the Commission to take the following actions:  </w:t>
      </w:r>
    </w:p>
    <w:p w14:paraId="6DB43ABF" w14:textId="77777777" w:rsidR="00CD56C0" w:rsidRPr="00227127" w:rsidRDefault="00CD56C0" w:rsidP="00D664B0">
      <w:pPr>
        <w:pStyle w:val="ListParagraph"/>
        <w:numPr>
          <w:ilvl w:val="0"/>
          <w:numId w:val="61"/>
        </w:numPr>
        <w:spacing w:after="240"/>
        <w:ind w:left="1080"/>
        <w:contextualSpacing w:val="0"/>
        <w:jc w:val="both"/>
      </w:pPr>
      <w:r w:rsidRPr="00227127">
        <w:rPr>
          <w:b/>
        </w:rPr>
        <w:t>System Lambda</w:t>
      </w:r>
      <w:r>
        <w:rPr>
          <w:b/>
        </w:rPr>
        <w:t xml:space="preserve">: </w:t>
      </w:r>
      <w:r w:rsidRPr="00227127">
        <w:t>Correct impacts associated with uneconomic dispatch to better reflect the utility’s true avoided cost.</w:t>
      </w:r>
      <w:r>
        <w:t xml:space="preserve"> The true marginal cost of dispatching the Company’s system is considerably more expensive to customers than Georgia Power’s assertion of system lambda would indicate.  </w:t>
      </w:r>
    </w:p>
    <w:p w14:paraId="363EA17B" w14:textId="77777777" w:rsidR="00CD56C0" w:rsidRDefault="00CD56C0" w:rsidP="00CD56C0">
      <w:pPr>
        <w:pStyle w:val="ListParagraph"/>
        <w:numPr>
          <w:ilvl w:val="0"/>
          <w:numId w:val="61"/>
        </w:numPr>
        <w:spacing w:after="60"/>
        <w:ind w:left="1080"/>
        <w:contextualSpacing w:val="0"/>
        <w:jc w:val="both"/>
        <w:rPr>
          <w:b/>
        </w:rPr>
      </w:pPr>
      <w:r w:rsidRPr="00227127">
        <w:rPr>
          <w:b/>
        </w:rPr>
        <w:t>Avoided Energy Cost Adjustments</w:t>
      </w:r>
      <w:r>
        <w:rPr>
          <w:b/>
        </w:rPr>
        <w:t xml:space="preserve">: </w:t>
      </w:r>
    </w:p>
    <w:p w14:paraId="1BC5BB56" w14:textId="77777777" w:rsidR="00CD56C0" w:rsidRPr="00EE2BB9" w:rsidRDefault="00CD56C0" w:rsidP="00CD56C0">
      <w:pPr>
        <w:pStyle w:val="ListParagraph"/>
        <w:numPr>
          <w:ilvl w:val="1"/>
          <w:numId w:val="61"/>
        </w:numPr>
        <w:spacing w:after="60"/>
        <w:contextualSpacing w:val="0"/>
        <w:jc w:val="both"/>
        <w:rPr>
          <w:b/>
        </w:rPr>
      </w:pPr>
      <w:r w:rsidRPr="00227127">
        <w:t xml:space="preserve">Incorporate locational marginal pricing </w:t>
      </w:r>
      <w:r w:rsidR="00B624EB">
        <w:t xml:space="preserve">(LMP) </w:t>
      </w:r>
      <w:r w:rsidRPr="00227127">
        <w:t xml:space="preserve">into the avoided cost calculation to better </w:t>
      </w:r>
      <w:r w:rsidRPr="00D664B0">
        <w:rPr>
          <w:spacing w:val="-2"/>
        </w:rPr>
        <w:t xml:space="preserve">reflect locational benefits of </w:t>
      </w:r>
      <w:r w:rsidR="00B624EB" w:rsidRPr="00D664B0">
        <w:rPr>
          <w:spacing w:val="-2"/>
        </w:rPr>
        <w:t>Qualifying Facilities (</w:t>
      </w:r>
      <w:r w:rsidRPr="00D664B0">
        <w:rPr>
          <w:spacing w:val="-2"/>
        </w:rPr>
        <w:t>QFs</w:t>
      </w:r>
      <w:r w:rsidR="00B624EB" w:rsidRPr="00D664B0">
        <w:rPr>
          <w:spacing w:val="-2"/>
        </w:rPr>
        <w:t>)</w:t>
      </w:r>
      <w:r w:rsidRPr="00D664B0">
        <w:rPr>
          <w:spacing w:val="-2"/>
        </w:rPr>
        <w:t>. Over time, the incorporation</w:t>
      </w:r>
      <w:r>
        <w:t xml:space="preserve"> of LMP will curb uneconomic dispatch and provide price signals that encourage QF and </w:t>
      </w:r>
      <w:r w:rsidR="00B624EB">
        <w:t>Demand Side Management (</w:t>
      </w:r>
      <w:r>
        <w:t>DSM</w:t>
      </w:r>
      <w:r w:rsidR="00B624EB">
        <w:t>)</w:t>
      </w:r>
      <w:r>
        <w:t xml:space="preserve"> development where it is most needed on the system.</w:t>
      </w:r>
    </w:p>
    <w:p w14:paraId="0BB088F2" w14:textId="77777777" w:rsidR="00CD56C0" w:rsidRDefault="00CD56C0" w:rsidP="00D664B0">
      <w:pPr>
        <w:pStyle w:val="ListParagraph"/>
        <w:numPr>
          <w:ilvl w:val="1"/>
          <w:numId w:val="61"/>
        </w:numPr>
        <w:spacing w:after="240"/>
        <w:contextualSpacing w:val="0"/>
        <w:jc w:val="both"/>
      </w:pPr>
      <w:r w:rsidRPr="00227127">
        <w:t>Ensure the start-up/commitment adder accurately captures avoided unit commitment costs.</w:t>
      </w:r>
      <w:r>
        <w:t xml:space="preserve"> </w:t>
      </w:r>
    </w:p>
    <w:p w14:paraId="0E824FF5" w14:textId="77777777" w:rsidR="00CD56C0" w:rsidRPr="00227127" w:rsidRDefault="00CD56C0" w:rsidP="00D664B0">
      <w:pPr>
        <w:pStyle w:val="ListParagraph"/>
        <w:numPr>
          <w:ilvl w:val="0"/>
          <w:numId w:val="61"/>
        </w:numPr>
        <w:spacing w:after="240"/>
        <w:ind w:left="1080"/>
        <w:contextualSpacing w:val="0"/>
        <w:jc w:val="both"/>
      </w:pPr>
      <w:r w:rsidRPr="001D07E3">
        <w:rPr>
          <w:b/>
        </w:rPr>
        <w:t xml:space="preserve">Renewable Cost Benefit </w:t>
      </w:r>
      <w:r w:rsidR="00B624EB">
        <w:rPr>
          <w:b/>
        </w:rPr>
        <w:t xml:space="preserve">(RCB) </w:t>
      </w:r>
      <w:r w:rsidRPr="001D07E3">
        <w:rPr>
          <w:b/>
        </w:rPr>
        <w:t>Framework</w:t>
      </w:r>
      <w:r>
        <w:rPr>
          <w:b/>
        </w:rPr>
        <w:t xml:space="preserve">: </w:t>
      </w:r>
      <w:r w:rsidRPr="00E31457">
        <w:t xml:space="preserve">Require </w:t>
      </w:r>
      <w:r>
        <w:t xml:space="preserve">an open and transparent </w:t>
      </w:r>
      <w:r w:rsidRPr="00E31457">
        <w:t xml:space="preserve">analysis of the RCB components and their methodologies before taking action on GPC’s proposal to apply two </w:t>
      </w:r>
      <w:r>
        <w:t xml:space="preserve">select </w:t>
      </w:r>
      <w:r w:rsidRPr="00E31457">
        <w:t>components of the RCB Framework t</w:t>
      </w:r>
      <w:r>
        <w:t xml:space="preserve">o QFs participating in standard offer contracts. </w:t>
      </w:r>
    </w:p>
    <w:p w14:paraId="38422BA4" w14:textId="77777777" w:rsidR="00CD56C0" w:rsidRPr="00227127" w:rsidRDefault="00CD56C0" w:rsidP="00D664B0">
      <w:pPr>
        <w:pStyle w:val="ListParagraph"/>
        <w:numPr>
          <w:ilvl w:val="0"/>
          <w:numId w:val="61"/>
        </w:numPr>
        <w:spacing w:after="240"/>
        <w:ind w:left="1080"/>
        <w:contextualSpacing w:val="0"/>
        <w:jc w:val="both"/>
      </w:pPr>
      <w:r w:rsidRPr="00227127">
        <w:rPr>
          <w:b/>
        </w:rPr>
        <w:t>Capacity Payments</w:t>
      </w:r>
      <w:r>
        <w:rPr>
          <w:b/>
        </w:rPr>
        <w:t xml:space="preserve">: </w:t>
      </w:r>
      <w:r w:rsidRPr="00561510">
        <w:t>Change the standard offer contract</w:t>
      </w:r>
      <w:r>
        <w:t>s</w:t>
      </w:r>
      <w:r w:rsidRPr="00561510">
        <w:t xml:space="preserve"> to </w:t>
      </w:r>
      <w:r>
        <w:t xml:space="preserve">compensate </w:t>
      </w:r>
      <w:r w:rsidR="00DF140D">
        <w:t xml:space="preserve">all QFs, including </w:t>
      </w:r>
      <w:r w:rsidRPr="00561510">
        <w:t>solar QFs</w:t>
      </w:r>
      <w:r w:rsidR="00DF140D">
        <w:t>,</w:t>
      </w:r>
      <w:r w:rsidRPr="00561510">
        <w:t xml:space="preserve"> </w:t>
      </w:r>
      <w:r>
        <w:t xml:space="preserve">for capacity starting in the first year of need as projected by Georgia Power at the time the contract is entered. </w:t>
      </w:r>
    </w:p>
    <w:p w14:paraId="5D9110E9" w14:textId="77777777" w:rsidR="00CD56C0" w:rsidRPr="00D664B0" w:rsidRDefault="00CD56C0" w:rsidP="00D664B0">
      <w:pPr>
        <w:pStyle w:val="ListParagraph"/>
        <w:numPr>
          <w:ilvl w:val="0"/>
          <w:numId w:val="61"/>
        </w:numPr>
        <w:spacing w:after="240"/>
        <w:ind w:left="1080"/>
        <w:contextualSpacing w:val="0"/>
        <w:jc w:val="both"/>
        <w:rPr>
          <w:b/>
        </w:rPr>
      </w:pPr>
      <w:r w:rsidRPr="00227127">
        <w:rPr>
          <w:b/>
        </w:rPr>
        <w:t>Standard Offer Contracts</w:t>
      </w:r>
      <w:r>
        <w:rPr>
          <w:b/>
        </w:rPr>
        <w:t xml:space="preserve">: </w:t>
      </w:r>
      <w:r>
        <w:t>Make fixed price, long</w:t>
      </w:r>
      <w:r w:rsidR="00FC0635">
        <w:t>-</w:t>
      </w:r>
      <w:r w:rsidRPr="00663989">
        <w:t xml:space="preserve">term standard offer contracts </w:t>
      </w:r>
      <w:r>
        <w:t>available to all QFs</w:t>
      </w:r>
      <w:r w:rsidRPr="00663989">
        <w:t>.</w:t>
      </w:r>
      <w:r>
        <w:t xml:space="preserve"> These terms are critical to the success of the renewable programs created by the Commission in recent </w:t>
      </w:r>
      <w:r w:rsidR="00B624EB">
        <w:t>Integrated Resource Plans (</w:t>
      </w:r>
      <w:r>
        <w:t>IRPs</w:t>
      </w:r>
      <w:r w:rsidR="00B624EB">
        <w:t>)</w:t>
      </w:r>
      <w:r>
        <w:t xml:space="preserve">. </w:t>
      </w:r>
    </w:p>
    <w:p w14:paraId="2142AEC9" w14:textId="77777777" w:rsidR="00CD56C0" w:rsidRPr="00CD56C0" w:rsidRDefault="00CD56C0" w:rsidP="00D664B0">
      <w:pPr>
        <w:pStyle w:val="ListParagraph"/>
        <w:numPr>
          <w:ilvl w:val="0"/>
          <w:numId w:val="61"/>
        </w:numPr>
        <w:spacing w:after="360"/>
        <w:ind w:left="1080"/>
        <w:contextualSpacing w:val="0"/>
        <w:jc w:val="both"/>
        <w:rPr>
          <w:b/>
        </w:rPr>
      </w:pPr>
      <w:r>
        <w:rPr>
          <w:b/>
        </w:rPr>
        <w:t xml:space="preserve">Demand Side Management: </w:t>
      </w:r>
      <w:r w:rsidRPr="007B24E7">
        <w:t xml:space="preserve">Ensure that demand side management resources are accurately valued by the final avoided cost methodology and approach developed in this proceeding. </w:t>
      </w:r>
    </w:p>
    <w:p w14:paraId="16381D54" w14:textId="77777777" w:rsidR="00EC7B1D" w:rsidRPr="00E81315" w:rsidRDefault="00EC7B1D" w:rsidP="00EC7B1D">
      <w:pPr>
        <w:pStyle w:val="gmail-m7495582046267717933msolistparagraph"/>
        <w:spacing w:before="0" w:beforeAutospacing="0" w:after="0" w:afterAutospacing="0" w:line="480" w:lineRule="auto"/>
        <w:ind w:left="720" w:hanging="720"/>
        <w:jc w:val="both"/>
        <w:rPr>
          <w:b/>
          <w:bCs/>
        </w:rPr>
      </w:pPr>
      <w:r>
        <w:rPr>
          <w:b/>
          <w:bCs/>
        </w:rPr>
        <w:t>Q.</w:t>
      </w:r>
      <w:r>
        <w:rPr>
          <w:b/>
          <w:bCs/>
        </w:rPr>
        <w:tab/>
      </w:r>
      <w:r w:rsidRPr="00E81315">
        <w:rPr>
          <w:b/>
          <w:bCs/>
        </w:rPr>
        <w:t>Does this Commission have the authority to adjust the rules</w:t>
      </w:r>
      <w:r>
        <w:rPr>
          <w:b/>
          <w:bCs/>
        </w:rPr>
        <w:t xml:space="preserve"> and offerings</w:t>
      </w:r>
      <w:r w:rsidRPr="00E81315">
        <w:rPr>
          <w:b/>
          <w:bCs/>
        </w:rPr>
        <w:t xml:space="preserve"> that guide the development of </w:t>
      </w:r>
      <w:r>
        <w:rPr>
          <w:b/>
          <w:bCs/>
        </w:rPr>
        <w:t xml:space="preserve">renewable energy </w:t>
      </w:r>
      <w:r w:rsidRPr="00E81315">
        <w:rPr>
          <w:b/>
          <w:bCs/>
        </w:rPr>
        <w:t>resources in Georgia?</w:t>
      </w:r>
    </w:p>
    <w:p w14:paraId="01C9DDDC" w14:textId="77777777" w:rsidR="00EC7B1D" w:rsidRPr="00FC5E2F" w:rsidRDefault="00EC7B1D" w:rsidP="00EC7B1D">
      <w:pPr>
        <w:pStyle w:val="gmail-m7495582046267717933msolistparagraph"/>
        <w:spacing w:before="0" w:beforeAutospacing="0" w:after="0" w:afterAutospacing="0" w:line="480" w:lineRule="auto"/>
        <w:ind w:left="720" w:hanging="720"/>
        <w:jc w:val="both"/>
      </w:pPr>
      <w:r>
        <w:t>A.</w:t>
      </w:r>
      <w:r>
        <w:tab/>
      </w:r>
      <w:r w:rsidRPr="00E81315">
        <w:t>Yes, this is one of the key roles of the Commission.</w:t>
      </w:r>
    </w:p>
    <w:p w14:paraId="3850F932" w14:textId="77777777" w:rsidR="00EC7B1D" w:rsidRPr="00E81315" w:rsidRDefault="00EC7B1D" w:rsidP="00EC7B1D">
      <w:pPr>
        <w:pStyle w:val="gmail-m7495582046267717933msolistparagraph"/>
        <w:spacing w:before="0" w:beforeAutospacing="0" w:after="0" w:afterAutospacing="0" w:line="480" w:lineRule="auto"/>
        <w:ind w:left="720" w:hanging="720"/>
        <w:jc w:val="both"/>
        <w:rPr>
          <w:b/>
          <w:bCs/>
        </w:rPr>
      </w:pPr>
      <w:r>
        <w:rPr>
          <w:b/>
          <w:bCs/>
        </w:rPr>
        <w:lastRenderedPageBreak/>
        <w:t>Q.</w:t>
      </w:r>
      <w:r>
        <w:rPr>
          <w:b/>
          <w:bCs/>
        </w:rPr>
        <w:tab/>
      </w:r>
      <w:r w:rsidRPr="00E81315">
        <w:rPr>
          <w:b/>
          <w:bCs/>
        </w:rPr>
        <w:t xml:space="preserve">Has this Commission exercised that authority to adjust the rules and </w:t>
      </w:r>
      <w:r>
        <w:rPr>
          <w:b/>
          <w:bCs/>
        </w:rPr>
        <w:t>offerings</w:t>
      </w:r>
      <w:r w:rsidRPr="00E81315">
        <w:rPr>
          <w:b/>
          <w:bCs/>
        </w:rPr>
        <w:t xml:space="preserve"> in light of changing conditions?</w:t>
      </w:r>
    </w:p>
    <w:p w14:paraId="1574B674" w14:textId="77777777" w:rsidR="00EC7B1D" w:rsidRPr="00E81315" w:rsidRDefault="00EC7B1D" w:rsidP="00EC7B1D">
      <w:pPr>
        <w:pStyle w:val="gmail-m7495582046267717933msolistparagraph"/>
        <w:spacing w:before="0" w:beforeAutospacing="0" w:after="0" w:afterAutospacing="0" w:line="480" w:lineRule="auto"/>
        <w:ind w:left="720" w:hanging="720"/>
        <w:jc w:val="both"/>
      </w:pPr>
      <w:r>
        <w:t>A.</w:t>
      </w:r>
      <w:r>
        <w:tab/>
      </w:r>
      <w:r w:rsidRPr="00E81315">
        <w:t xml:space="preserve">Yes. The Commission has made good and strong adjustments in many dockets over many years to improve the quality and robustness of the electricity market to benefit </w:t>
      </w:r>
      <w:r>
        <w:t>Georgians</w:t>
      </w:r>
      <w:r w:rsidRPr="00E81315">
        <w:t xml:space="preserve">. In recent years, this Commission has taken </w:t>
      </w:r>
      <w:r w:rsidR="00D664B0">
        <w:t xml:space="preserve">active </w:t>
      </w:r>
      <w:r w:rsidRPr="00E81315">
        <w:t>steps to drive more clean energy development</w:t>
      </w:r>
      <w:r>
        <w:t xml:space="preserve">. In several instances, the Commission has ordered solar and efficiency resource procurement at levels </w:t>
      </w:r>
      <w:r w:rsidRPr="00E81315">
        <w:t xml:space="preserve">beyond what the Company was proposing, including </w:t>
      </w:r>
      <w:r>
        <w:t>in the 2019</w:t>
      </w:r>
      <w:r w:rsidRPr="00E81315">
        <w:t xml:space="preserve"> Integrated Resource Plan</w:t>
      </w:r>
      <w:r>
        <w:t xml:space="preserve">ning proceeding and 2019 Rate Case. </w:t>
      </w:r>
      <w:r w:rsidRPr="00E81315">
        <w:t xml:space="preserve">These </w:t>
      </w:r>
      <w:r>
        <w:t>Commission actions</w:t>
      </w:r>
      <w:r w:rsidRPr="00E81315">
        <w:t xml:space="preserve"> have resulted in more development in </w:t>
      </w:r>
      <w:r>
        <w:t>segments of Georgia’s clean energy market</w:t>
      </w:r>
      <w:r w:rsidRPr="00E81315">
        <w:t xml:space="preserve"> where growth was unnecessarily </w:t>
      </w:r>
      <w:r>
        <w:t>stagnant</w:t>
      </w:r>
      <w:r w:rsidRPr="00E81315">
        <w:t xml:space="preserve"> and led to better outcomes in Georgia than woul</w:t>
      </w:r>
      <w:r>
        <w:t>d have otherwise been the case.</w:t>
      </w:r>
    </w:p>
    <w:p w14:paraId="39884EF7" w14:textId="77777777" w:rsidR="002368C1" w:rsidRDefault="00EC7B1D" w:rsidP="007A4666">
      <w:pPr>
        <w:pStyle w:val="gmail-m7495582046267717933msolistparagraph"/>
        <w:spacing w:before="0" w:beforeAutospacing="0" w:after="120" w:afterAutospacing="0" w:line="480" w:lineRule="auto"/>
        <w:ind w:left="720"/>
        <w:jc w:val="both"/>
      </w:pPr>
      <w:r w:rsidRPr="00E81315">
        <w:t>It is in that spirit that we offer our suggestions</w:t>
      </w:r>
      <w:r>
        <w:t>. We</w:t>
      </w:r>
      <w:r w:rsidRPr="00E81315">
        <w:t xml:space="preserve"> believe that the Commission has a timely and important opportunity to continue </w:t>
      </w:r>
      <w:r w:rsidR="007A4666">
        <w:t xml:space="preserve">its </w:t>
      </w:r>
      <w:r w:rsidRPr="00E81315">
        <w:t xml:space="preserve">reasoned, measured approach towards PURPA implementation </w:t>
      </w:r>
      <w:r w:rsidR="007A4666">
        <w:t xml:space="preserve">by </w:t>
      </w:r>
      <w:r w:rsidR="007A4666" w:rsidRPr="00E81315">
        <w:t>recogniz</w:t>
      </w:r>
      <w:r w:rsidR="007A4666">
        <w:t>ing</w:t>
      </w:r>
      <w:r w:rsidR="007A4666" w:rsidRPr="00E81315">
        <w:t xml:space="preserve"> </w:t>
      </w:r>
      <w:r w:rsidR="007A4666">
        <w:t xml:space="preserve">that </w:t>
      </w:r>
      <w:r w:rsidRPr="00E81315">
        <w:t xml:space="preserve">some parts need reconsideration </w:t>
      </w:r>
      <w:r w:rsidR="007A4666">
        <w:t xml:space="preserve">and adjustment </w:t>
      </w:r>
      <w:r w:rsidRPr="00E81315">
        <w:t xml:space="preserve">to </w:t>
      </w:r>
      <w:r w:rsidR="00D97A1E">
        <w:t xml:space="preserve">overcome </w:t>
      </w:r>
      <w:r w:rsidRPr="00E81315">
        <w:t xml:space="preserve">marketplace shortcomings. The Commission is well situated to make timely modifications to the </w:t>
      </w:r>
      <w:r w:rsidR="00D97A1E">
        <w:t xml:space="preserve">existing </w:t>
      </w:r>
      <w:r w:rsidRPr="00E81315">
        <w:t xml:space="preserve">framework </w:t>
      </w:r>
      <w:r w:rsidR="00D97A1E">
        <w:t xml:space="preserve">and contract options to </w:t>
      </w:r>
      <w:r w:rsidRPr="00E81315">
        <w:t>advance a more vibrant QF marketplace in Georgia.</w:t>
      </w:r>
      <w:r w:rsidR="0071795B" w:rsidRPr="00227127">
        <w:tab/>
      </w:r>
      <w:bookmarkStart w:id="9" w:name="_Toc50998923"/>
      <w:bookmarkStart w:id="10" w:name="Discussion"/>
    </w:p>
    <w:p w14:paraId="3D4A36DE" w14:textId="77777777" w:rsidR="00731732" w:rsidRPr="00573F5F" w:rsidRDefault="00731732" w:rsidP="009169BF">
      <w:pPr>
        <w:pStyle w:val="OutlineL1"/>
        <w:numPr>
          <w:ilvl w:val="0"/>
          <w:numId w:val="72"/>
        </w:numPr>
        <w:spacing w:after="240" w:line="360" w:lineRule="auto"/>
      </w:pPr>
      <w:bookmarkStart w:id="11" w:name="_Toc57906644"/>
      <w:r w:rsidRPr="00573F5F">
        <w:t>GEORGIA POWER</w:t>
      </w:r>
      <w:r w:rsidR="007A4666" w:rsidRPr="00573F5F">
        <w:t xml:space="preserve"> SHOULD </w:t>
      </w:r>
      <w:r w:rsidRPr="00573F5F">
        <w:t xml:space="preserve">INCORPORATE LOCATIONAL </w:t>
      </w:r>
      <w:r w:rsidR="002368C1" w:rsidRPr="00573F5F">
        <w:br/>
      </w:r>
      <w:r w:rsidRPr="00573F5F">
        <w:t>MARGINAL PRICING</w:t>
      </w:r>
      <w:r w:rsidR="00830754" w:rsidRPr="00573F5F">
        <w:t xml:space="preserve"> </w:t>
      </w:r>
      <w:r w:rsidR="007A4666" w:rsidRPr="00573F5F">
        <w:t>TO</w:t>
      </w:r>
      <w:r w:rsidR="00830754" w:rsidRPr="00573F5F">
        <w:t xml:space="preserve"> BETTER ENCOURAGE QF DEVELOPMENT</w:t>
      </w:r>
      <w:r w:rsidRPr="00573F5F">
        <w:t>.</w:t>
      </w:r>
      <w:bookmarkEnd w:id="11"/>
    </w:p>
    <w:p w14:paraId="6327B405" w14:textId="77777777" w:rsidR="00731732" w:rsidRDefault="00731732" w:rsidP="00CD56C0">
      <w:pPr>
        <w:spacing w:line="480" w:lineRule="auto"/>
        <w:ind w:left="720" w:hanging="720"/>
        <w:jc w:val="both"/>
        <w:rPr>
          <w:b/>
        </w:rPr>
      </w:pPr>
      <w:r>
        <w:rPr>
          <w:b/>
        </w:rPr>
        <w:t>Q.</w:t>
      </w:r>
      <w:r>
        <w:rPr>
          <w:b/>
        </w:rPr>
        <w:tab/>
        <w:t xml:space="preserve">What is your view of Georgia Power’s proposed revisions to its avoided cost methodology? </w:t>
      </w:r>
    </w:p>
    <w:p w14:paraId="053207B3" w14:textId="77777777" w:rsidR="00731732" w:rsidRDefault="00731732" w:rsidP="00D97A1E">
      <w:pPr>
        <w:spacing w:line="480" w:lineRule="auto"/>
        <w:ind w:left="720" w:hanging="720"/>
        <w:jc w:val="both"/>
      </w:pPr>
      <w:r>
        <w:t>A.</w:t>
      </w:r>
      <w:r>
        <w:tab/>
        <w:t xml:space="preserve">The Company proposes two relatively modest tweaks </w:t>
      </w:r>
      <w:r w:rsidR="00830754">
        <w:t xml:space="preserve">– the removal of the marginal cost and fuel cost multipliers – and one more substantive change: the application of </w:t>
      </w:r>
      <w:r w:rsidR="0060338A">
        <w:t xml:space="preserve">only </w:t>
      </w:r>
      <w:r w:rsidR="00830754">
        <w:t xml:space="preserve">the </w:t>
      </w:r>
      <w:r w:rsidR="00830754">
        <w:lastRenderedPageBreak/>
        <w:t xml:space="preserve">energy aspects </w:t>
      </w:r>
      <w:r w:rsidR="008D087C">
        <w:t>of the RCB</w:t>
      </w:r>
      <w:r w:rsidR="00830754">
        <w:t xml:space="preserve"> Framework to the ultimate determination of the rates paid to QFs for their generation. </w:t>
      </w:r>
      <w:r w:rsidR="00A00E4B">
        <w:t xml:space="preserve">The Company views the removal of the two multipliers as immaterial to the </w:t>
      </w:r>
      <w:r w:rsidR="004977A7" w:rsidRPr="0060338A">
        <w:t>final avoided cost</w:t>
      </w:r>
      <w:r w:rsidR="004977A7">
        <w:t xml:space="preserve"> </w:t>
      </w:r>
      <w:r w:rsidR="00A00E4B">
        <w:t>result. The more substantive change reflects a piecemeal application of the Company’s otherwise comprehensive RCB Framework</w:t>
      </w:r>
      <w:r w:rsidR="004B5AEF">
        <w:t xml:space="preserve"> that</w:t>
      </w:r>
      <w:r w:rsidR="00A00E4B">
        <w:t xml:space="preserve"> would </w:t>
      </w:r>
      <w:r w:rsidR="004B5AEF">
        <w:t xml:space="preserve">fail to </w:t>
      </w:r>
      <w:r w:rsidR="00A00E4B">
        <w:t xml:space="preserve">apply any of the capacity benefits recognized by the Framework. The end result of these </w:t>
      </w:r>
      <w:r w:rsidR="004B5AEF">
        <w:t xml:space="preserve">proposed </w:t>
      </w:r>
      <w:r w:rsidR="00A00E4B">
        <w:t xml:space="preserve">changes, as shown in </w:t>
      </w:r>
      <w:r w:rsidR="00A00E4B" w:rsidRPr="008D087C">
        <w:t>Exhibit 1</w:t>
      </w:r>
      <w:r w:rsidR="00A00E4B">
        <w:t xml:space="preserve"> to the Company’s testimony, </w:t>
      </w:r>
      <w:r w:rsidR="00D34B7B">
        <w:t>would</w:t>
      </w:r>
      <w:r w:rsidR="004B5AEF">
        <w:t xml:space="preserve"> be </w:t>
      </w:r>
      <w:r w:rsidR="00A00E4B">
        <w:t>to push down the Company’s avoided cost projections relative to p</w:t>
      </w:r>
      <w:r w:rsidR="00BF595A">
        <w:t xml:space="preserve">rior filings, at least for the next five years. </w:t>
      </w:r>
    </w:p>
    <w:p w14:paraId="6B5E165F" w14:textId="77777777" w:rsidR="00BF595A" w:rsidRDefault="00BF595A" w:rsidP="007F74AB">
      <w:pPr>
        <w:spacing w:after="120" w:line="480" w:lineRule="auto"/>
        <w:ind w:left="720" w:hanging="720"/>
        <w:jc w:val="both"/>
      </w:pPr>
      <w:r>
        <w:tab/>
        <w:t xml:space="preserve">In general, we view these proposed changes as both too modest and incomplete. The Company appears to feel that after more than </w:t>
      </w:r>
      <w:r w:rsidR="00B624EB">
        <w:t>25</w:t>
      </w:r>
      <w:r>
        <w:t xml:space="preserve"> years very little change is needed to ensure that renewable and demand-side resources are being valued appropriately, other than to deny solar QFs compensation for a known value stream (capacity benefits).  In our view, the Company’s proposed revisions fail to meet the challenge of this proceeding, which is to revisit and strengthen the methodology (and </w:t>
      </w:r>
      <w:r w:rsidR="004977A7">
        <w:t xml:space="preserve">the </w:t>
      </w:r>
      <w:r>
        <w:t xml:space="preserve">standard contracts through which it is implemented) to ensure that it </w:t>
      </w:r>
      <w:r w:rsidR="004B5AEF">
        <w:t xml:space="preserve">actually </w:t>
      </w:r>
      <w:r>
        <w:t xml:space="preserve">meets PURPA’s goal of encouraging QF generation. </w:t>
      </w:r>
    </w:p>
    <w:p w14:paraId="138D2B22" w14:textId="77777777" w:rsidR="00972F5F" w:rsidRPr="00972F5F" w:rsidRDefault="00972F5F" w:rsidP="0060338A">
      <w:pPr>
        <w:spacing w:line="480" w:lineRule="auto"/>
        <w:ind w:left="720" w:hanging="720"/>
        <w:jc w:val="both"/>
        <w:rPr>
          <w:b/>
        </w:rPr>
      </w:pPr>
      <w:r w:rsidRPr="00972F5F">
        <w:rPr>
          <w:b/>
        </w:rPr>
        <w:t>Q.</w:t>
      </w:r>
      <w:r>
        <w:rPr>
          <w:b/>
        </w:rPr>
        <w:tab/>
        <w:t xml:space="preserve">What modifications to the current methodology do you assert are warranted? </w:t>
      </w:r>
    </w:p>
    <w:p w14:paraId="29BC6B21" w14:textId="77777777" w:rsidR="00972F5F" w:rsidRDefault="00972F5F" w:rsidP="007F74AB">
      <w:pPr>
        <w:spacing w:after="120" w:line="480" w:lineRule="auto"/>
        <w:ind w:left="720" w:hanging="720"/>
        <w:jc w:val="both"/>
      </w:pPr>
      <w:r>
        <w:t>A.</w:t>
      </w:r>
      <w:r>
        <w:tab/>
        <w:t>We reiterate that the methodology should be revised in more substantive ways. First, the Company should correct its system lambda to reflect the impacts of pervasive uneconomic dispatch (and thereby better reflect its true avoided cost). Second, the Company should adjust its avoided energy cost to incorporate locational marginal pricing</w:t>
      </w:r>
      <w:r w:rsidR="00272760">
        <w:t xml:space="preserve"> </w:t>
      </w:r>
      <w:r>
        <w:t>and to ensure that avoided unit commitment costs are adequately captured.</w:t>
      </w:r>
      <w:r w:rsidR="00272760" w:rsidDel="00272760">
        <w:t xml:space="preserve"> </w:t>
      </w:r>
    </w:p>
    <w:p w14:paraId="3C66982C" w14:textId="77777777" w:rsidR="000E7254" w:rsidRDefault="000E7254" w:rsidP="007F74AB">
      <w:pPr>
        <w:spacing w:after="120" w:line="480" w:lineRule="auto"/>
        <w:ind w:left="720" w:hanging="720"/>
        <w:jc w:val="both"/>
      </w:pPr>
      <w:r w:rsidRPr="0060338A">
        <w:rPr>
          <w:b/>
        </w:rPr>
        <w:lastRenderedPageBreak/>
        <w:t>Q.</w:t>
      </w:r>
      <w:r>
        <w:tab/>
      </w:r>
      <w:r w:rsidRPr="000E7254">
        <w:rPr>
          <w:b/>
        </w:rPr>
        <w:t>Taking those in turn, the Company has taken the position that how it dispatches its system falls outside of the issues outlined for determination in the Procedural and Scheduling Order.  Do you agree?</w:t>
      </w:r>
      <w:r>
        <w:t xml:space="preserve"> </w:t>
      </w:r>
    </w:p>
    <w:p w14:paraId="46E898E4" w14:textId="77777777" w:rsidR="000E7254" w:rsidRDefault="000E7254" w:rsidP="0060338A">
      <w:pPr>
        <w:spacing w:line="480" w:lineRule="auto"/>
        <w:ind w:left="720" w:hanging="720"/>
        <w:jc w:val="both"/>
      </w:pPr>
      <w:r>
        <w:t>A.</w:t>
      </w:r>
      <w:r>
        <w:tab/>
        <w:t xml:space="preserve">No. How the Company dispatches its system directly impacts system lambda, which is the core component of its determination of avoided costs. To be clear, we are not suggesting that the Company should </w:t>
      </w:r>
      <w:r w:rsidR="004977A7">
        <w:t xml:space="preserve">have </w:t>
      </w:r>
      <w:r>
        <w:t>dispatch</w:t>
      </w:r>
      <w:r w:rsidR="004977A7">
        <w:t>ed</w:t>
      </w:r>
      <w:r>
        <w:t xml:space="preserve"> its system differently. </w:t>
      </w:r>
      <w:r w:rsidR="00045646">
        <w:t xml:space="preserve">Instead, we are arguing that the Company’s system lambda should more accurately reflect the true marginal costs of daily and hourly system operation. Currently, there is a substantial disconnect between the Company’s assertion of system lambda and the actual marginal costs of operating the system, costs which are duly charged to customers but which are not currently reflected in the Company’s calculation of system lambda. </w:t>
      </w:r>
      <w:r w:rsidR="005232D3">
        <w:t xml:space="preserve">Simply put, </w:t>
      </w:r>
      <w:r w:rsidR="004977A7">
        <w:t xml:space="preserve">we are concerned that </w:t>
      </w:r>
      <w:r w:rsidR="005232D3">
        <w:t xml:space="preserve">the true marginal cost of dispatching the system is considerably more expensive to customers than Georgia Power’s assertion of system lambda would indicate. </w:t>
      </w:r>
    </w:p>
    <w:p w14:paraId="643E328D" w14:textId="77777777" w:rsidR="000E7254" w:rsidRDefault="000E7254" w:rsidP="0060338A">
      <w:pPr>
        <w:spacing w:line="480" w:lineRule="auto"/>
        <w:ind w:left="720" w:hanging="720"/>
        <w:jc w:val="both"/>
        <w:rPr>
          <w:b/>
        </w:rPr>
      </w:pPr>
      <w:r w:rsidRPr="005232D3">
        <w:rPr>
          <w:b/>
        </w:rPr>
        <w:t>Q.</w:t>
      </w:r>
      <w:r>
        <w:tab/>
      </w:r>
      <w:r w:rsidR="005232D3">
        <w:rPr>
          <w:b/>
        </w:rPr>
        <w:t xml:space="preserve">How does your recommendation regarding locational marginal pricing fit within this critique? </w:t>
      </w:r>
    </w:p>
    <w:p w14:paraId="41262F41" w14:textId="77777777" w:rsidR="00FD2AA0" w:rsidRDefault="005232D3" w:rsidP="0060338A">
      <w:pPr>
        <w:spacing w:line="480" w:lineRule="auto"/>
        <w:ind w:left="720" w:hanging="720"/>
        <w:jc w:val="both"/>
      </w:pPr>
      <w:r w:rsidRPr="005232D3">
        <w:t xml:space="preserve">A. </w:t>
      </w:r>
      <w:r w:rsidRPr="005232D3">
        <w:tab/>
      </w:r>
      <w:r w:rsidR="00FD2AA0">
        <w:t>We believe the i</w:t>
      </w:r>
      <w:r w:rsidR="00FD2AA0" w:rsidRPr="00FD2AA0">
        <w:t xml:space="preserve">nclusion of LMP </w:t>
      </w:r>
      <w:r w:rsidR="00B52DA7">
        <w:t>will</w:t>
      </w:r>
      <w:r w:rsidR="00FD2AA0" w:rsidRPr="00FD2AA0">
        <w:t xml:space="preserve"> better align retail rate changes and avoided cost changes in a way that reduces total system costs. </w:t>
      </w:r>
      <w:r w:rsidR="00211B54" w:rsidRPr="00230757">
        <w:rPr>
          <w:rFonts w:eastAsia="Times New Roman"/>
          <w:color w:val="000000"/>
          <w:spacing w:val="-1"/>
          <w:bdr w:val="none" w:sz="0" w:space="0" w:color="auto" w:frame="1"/>
        </w:rPr>
        <w:t xml:space="preserve">Incorporating </w:t>
      </w:r>
      <w:r w:rsidR="00211B54">
        <w:rPr>
          <w:rFonts w:eastAsia="Times New Roman"/>
          <w:color w:val="000000"/>
          <w:spacing w:val="-1"/>
          <w:bdr w:val="none" w:sz="0" w:space="0" w:color="auto" w:frame="1"/>
        </w:rPr>
        <w:t>LMP</w:t>
      </w:r>
      <w:r w:rsidR="00211B54" w:rsidRPr="00230757">
        <w:rPr>
          <w:rFonts w:eastAsia="Times New Roman"/>
          <w:color w:val="000000"/>
          <w:spacing w:val="-1"/>
          <w:bdr w:val="none" w:sz="0" w:space="0" w:color="auto" w:frame="1"/>
        </w:rPr>
        <w:t xml:space="preserve"> into the avoided cost methodology </w:t>
      </w:r>
      <w:r w:rsidR="00B52DA7">
        <w:rPr>
          <w:rFonts w:eastAsia="Times New Roman"/>
          <w:color w:val="000000"/>
          <w:spacing w:val="-1"/>
          <w:bdr w:val="none" w:sz="0" w:space="0" w:color="auto" w:frame="1"/>
        </w:rPr>
        <w:t>will</w:t>
      </w:r>
      <w:r w:rsidR="00211B54" w:rsidRPr="00230757">
        <w:rPr>
          <w:rFonts w:eastAsia="Times New Roman"/>
          <w:color w:val="000000"/>
          <w:spacing w:val="-1"/>
          <w:bdr w:val="none" w:sz="0" w:space="0" w:color="auto" w:frame="1"/>
        </w:rPr>
        <w:t xml:space="preserve"> add transparency to the system and acknowledge real system constraints, helping to ensure customers get the most return on their dollar</w:t>
      </w:r>
      <w:r w:rsidR="00211B54">
        <w:rPr>
          <w:rFonts w:eastAsia="Times New Roman"/>
          <w:color w:val="000000"/>
          <w:spacing w:val="-1"/>
          <w:bdr w:val="none" w:sz="0" w:space="0" w:color="auto" w:frame="1"/>
        </w:rPr>
        <w:t xml:space="preserve">. </w:t>
      </w:r>
      <w:r w:rsidR="00FD2AA0">
        <w:t xml:space="preserve">Over time, the incorporation of LMP </w:t>
      </w:r>
      <w:r w:rsidR="00B52DA7">
        <w:t>will</w:t>
      </w:r>
      <w:r w:rsidR="00FD2AA0">
        <w:t xml:space="preserve"> curb uneconomic dispatch by providing price signals that encourage QF development in areas where it is most needed. </w:t>
      </w:r>
      <w:r w:rsidR="0060338A">
        <w:t xml:space="preserve">And </w:t>
      </w:r>
      <w:r w:rsidR="0060338A" w:rsidRPr="0060338A">
        <w:t>w</w:t>
      </w:r>
      <w:r w:rsidR="009B7468" w:rsidRPr="0060338A">
        <w:t>hen LMP is fully implemented into the DSM planning process</w:t>
      </w:r>
      <w:r w:rsidR="009B7468">
        <w:t>, i</w:t>
      </w:r>
      <w:r w:rsidR="00FD2AA0" w:rsidRPr="00FD2AA0">
        <w:t xml:space="preserve">t </w:t>
      </w:r>
      <w:r w:rsidR="00B52DA7">
        <w:t>will</w:t>
      </w:r>
      <w:r w:rsidR="00FD2AA0" w:rsidRPr="00FD2AA0">
        <w:t xml:space="preserve"> give more value to demand-side programs that reduce demand in more congested parts </w:t>
      </w:r>
      <w:r w:rsidR="007F5BDA">
        <w:t>of the system</w:t>
      </w:r>
      <w:r w:rsidR="00FD2AA0" w:rsidRPr="00FD2AA0">
        <w:t>.</w:t>
      </w:r>
      <w:r w:rsidR="00FD2AA0">
        <w:t xml:space="preserve"> </w:t>
      </w:r>
    </w:p>
    <w:p w14:paraId="70EF96E5" w14:textId="77777777" w:rsidR="00FD2AA0" w:rsidRPr="00FD2AA0" w:rsidRDefault="00FD2AA0" w:rsidP="00FD2AA0">
      <w:pPr>
        <w:shd w:val="clear" w:color="auto" w:fill="FFFFFF"/>
        <w:spacing w:line="480" w:lineRule="auto"/>
        <w:ind w:left="720" w:hanging="720"/>
        <w:jc w:val="both"/>
        <w:rPr>
          <w:rFonts w:eastAsia="Times New Roman"/>
          <w:b/>
          <w:bCs/>
          <w:color w:val="000000"/>
          <w:spacing w:val="-1"/>
          <w:bdr w:val="none" w:sz="0" w:space="0" w:color="auto" w:frame="1"/>
        </w:rPr>
      </w:pPr>
      <w:r w:rsidRPr="00FD2AA0">
        <w:rPr>
          <w:rFonts w:eastAsia="Times New Roman"/>
          <w:b/>
          <w:bCs/>
          <w:color w:val="000000"/>
          <w:spacing w:val="-1"/>
          <w:bdr w:val="none" w:sz="0" w:space="0" w:color="auto" w:frame="1"/>
        </w:rPr>
        <w:lastRenderedPageBreak/>
        <w:t>Q.</w:t>
      </w:r>
      <w:r w:rsidRPr="00FD2AA0">
        <w:rPr>
          <w:rFonts w:eastAsia="Times New Roman"/>
          <w:b/>
          <w:bCs/>
          <w:color w:val="000000"/>
          <w:spacing w:val="-1"/>
          <w:bdr w:val="none" w:sz="0" w:space="0" w:color="auto" w:frame="1"/>
        </w:rPr>
        <w:tab/>
        <w:t xml:space="preserve">The Georgia Power panel asserted that because of GPC’s structure as a vertically integrated utility, </w:t>
      </w:r>
      <w:r w:rsidR="00D97A1E">
        <w:rPr>
          <w:rFonts w:eastAsia="Times New Roman"/>
          <w:b/>
          <w:bCs/>
          <w:color w:val="000000"/>
          <w:spacing w:val="-1"/>
          <w:bdr w:val="none" w:sz="0" w:space="0" w:color="auto" w:frame="1"/>
        </w:rPr>
        <w:t>it doesn’t</w:t>
      </w:r>
      <w:r w:rsidRPr="00FD2AA0">
        <w:rPr>
          <w:rFonts w:eastAsia="Times New Roman"/>
          <w:b/>
          <w:bCs/>
          <w:color w:val="000000"/>
          <w:spacing w:val="-1"/>
          <w:bdr w:val="none" w:sz="0" w:space="0" w:color="auto" w:frame="1"/>
        </w:rPr>
        <w:t xml:space="preserve"> have congestion </w:t>
      </w:r>
      <w:r w:rsidR="00272760">
        <w:rPr>
          <w:rFonts w:eastAsia="Times New Roman"/>
          <w:b/>
          <w:bCs/>
          <w:color w:val="000000"/>
          <w:spacing w:val="-1"/>
          <w:bdr w:val="none" w:sz="0" w:space="0" w:color="auto" w:frame="1"/>
        </w:rPr>
        <w:t xml:space="preserve">− </w:t>
      </w:r>
      <w:r w:rsidRPr="00FD2AA0">
        <w:rPr>
          <w:rFonts w:eastAsia="Times New Roman"/>
          <w:b/>
          <w:bCs/>
          <w:color w:val="000000"/>
          <w:spacing w:val="-1"/>
          <w:bdr w:val="none" w:sz="0" w:space="0" w:color="auto" w:frame="1"/>
        </w:rPr>
        <w:t>at least not in the way that unregulated utilities experience it.  Do you agree with the panel?</w:t>
      </w:r>
    </w:p>
    <w:p w14:paraId="327CB791" w14:textId="77777777" w:rsidR="00FD2AA0" w:rsidRDefault="00FD2AA0" w:rsidP="00CD56C0">
      <w:pPr>
        <w:spacing w:line="480" w:lineRule="auto"/>
        <w:ind w:left="720" w:hanging="720"/>
        <w:jc w:val="both"/>
        <w:rPr>
          <w:rFonts w:eastAsia="Times New Roman"/>
          <w:bCs/>
          <w:color w:val="000000"/>
          <w:spacing w:val="-1"/>
          <w:bdr w:val="none" w:sz="0" w:space="0" w:color="auto" w:frame="1"/>
        </w:rPr>
      </w:pPr>
      <w:r w:rsidRPr="00230757">
        <w:rPr>
          <w:rFonts w:eastAsia="Times New Roman"/>
          <w:bCs/>
          <w:color w:val="000000"/>
          <w:spacing w:val="-1"/>
          <w:bdr w:val="none" w:sz="0" w:space="0" w:color="auto" w:frame="1"/>
        </w:rPr>
        <w:t>A.</w:t>
      </w:r>
      <w:r w:rsidRPr="00230757">
        <w:rPr>
          <w:rFonts w:eastAsia="Times New Roman"/>
          <w:bCs/>
          <w:color w:val="000000"/>
          <w:spacing w:val="-1"/>
          <w:bdr w:val="none" w:sz="0" w:space="0" w:color="auto" w:frame="1"/>
        </w:rPr>
        <w:tab/>
        <w:t>No. Georgia Power does have congestion on its system</w:t>
      </w:r>
      <w:r>
        <w:rPr>
          <w:rFonts w:eastAsia="Times New Roman"/>
          <w:bCs/>
          <w:color w:val="000000"/>
          <w:spacing w:val="-1"/>
          <w:bdr w:val="none" w:sz="0" w:space="0" w:color="auto" w:frame="1"/>
        </w:rPr>
        <w:t xml:space="preserve">. </w:t>
      </w:r>
      <w:r w:rsidR="0063423A">
        <w:rPr>
          <w:rFonts w:eastAsia="Times New Roman"/>
          <w:bCs/>
          <w:color w:val="000000"/>
          <w:spacing w:val="-1"/>
          <w:bdr w:val="none" w:sz="0" w:space="0" w:color="auto" w:frame="1"/>
        </w:rPr>
        <w:t xml:space="preserve">The Peachtree Corners area cited by </w:t>
      </w:r>
      <w:r w:rsidR="007A3D5E" w:rsidRPr="006A73DF">
        <w:rPr>
          <w:rFonts w:eastAsia="Times New Roman"/>
          <w:bCs/>
          <w:color w:val="000000"/>
          <w:spacing w:val="-1"/>
          <w:bdr w:val="none" w:sz="0" w:space="0" w:color="auto" w:frame="1"/>
        </w:rPr>
        <w:t>Vice-Chairman</w:t>
      </w:r>
      <w:r w:rsidR="007A3D5E">
        <w:rPr>
          <w:rFonts w:eastAsia="Times New Roman"/>
          <w:bCs/>
          <w:color w:val="000000"/>
          <w:spacing w:val="-1"/>
          <w:bdr w:val="none" w:sz="0" w:space="0" w:color="auto" w:frame="1"/>
        </w:rPr>
        <w:t xml:space="preserve"> </w:t>
      </w:r>
      <w:r w:rsidR="0063423A">
        <w:rPr>
          <w:rFonts w:eastAsia="Times New Roman"/>
          <w:bCs/>
          <w:color w:val="000000"/>
          <w:spacing w:val="-1"/>
          <w:bdr w:val="none" w:sz="0" w:space="0" w:color="auto" w:frame="1"/>
        </w:rPr>
        <w:t>Echols at the first round of hearings is a case in point. All electric utilities deal with congestion issues and the accompanying need to resolve transmission and distribution constraints. The question is whether this will continue to be done through transmission and distribution investments that have proved quite costly to customers in recent years</w:t>
      </w:r>
      <w:r w:rsidR="007F5BDA">
        <w:rPr>
          <w:rFonts w:eastAsia="Times New Roman"/>
          <w:bCs/>
          <w:color w:val="000000"/>
          <w:spacing w:val="-1"/>
          <w:bdr w:val="none" w:sz="0" w:space="0" w:color="auto" w:frame="1"/>
        </w:rPr>
        <w:t xml:space="preserve">, or </w:t>
      </w:r>
      <w:r w:rsidR="00B52DA7">
        <w:rPr>
          <w:rFonts w:eastAsia="Times New Roman"/>
          <w:bCs/>
          <w:color w:val="000000"/>
          <w:spacing w:val="-1"/>
          <w:bdr w:val="none" w:sz="0" w:space="0" w:color="auto" w:frame="1"/>
        </w:rPr>
        <w:t xml:space="preserve">whether </w:t>
      </w:r>
      <w:r w:rsidR="007F5BDA">
        <w:rPr>
          <w:rFonts w:eastAsia="Times New Roman"/>
          <w:bCs/>
          <w:color w:val="000000"/>
          <w:spacing w:val="-1"/>
          <w:bdr w:val="none" w:sz="0" w:space="0" w:color="auto" w:frame="1"/>
        </w:rPr>
        <w:t>“non-wires alternatives” such as solar QFs and demand-</w:t>
      </w:r>
      <w:r w:rsidR="00465321">
        <w:rPr>
          <w:rFonts w:eastAsia="Times New Roman"/>
          <w:bCs/>
          <w:color w:val="000000"/>
          <w:spacing w:val="-1"/>
          <w:bdr w:val="none" w:sz="0" w:space="0" w:color="auto" w:frame="1"/>
        </w:rPr>
        <w:t xml:space="preserve">side </w:t>
      </w:r>
      <w:r w:rsidR="007F5BDA">
        <w:rPr>
          <w:rFonts w:eastAsia="Times New Roman"/>
          <w:bCs/>
          <w:color w:val="000000"/>
          <w:spacing w:val="-1"/>
          <w:bdr w:val="none" w:sz="0" w:space="0" w:color="auto" w:frame="1"/>
        </w:rPr>
        <w:t xml:space="preserve">measures </w:t>
      </w:r>
      <w:r w:rsidR="00B52DA7">
        <w:rPr>
          <w:rFonts w:eastAsia="Times New Roman"/>
          <w:bCs/>
          <w:color w:val="000000"/>
          <w:spacing w:val="-1"/>
          <w:bdr w:val="none" w:sz="0" w:space="0" w:color="auto" w:frame="1"/>
        </w:rPr>
        <w:t xml:space="preserve">will be allowed to </w:t>
      </w:r>
      <w:r w:rsidR="007F5BDA">
        <w:rPr>
          <w:rFonts w:eastAsia="Times New Roman"/>
          <w:bCs/>
          <w:color w:val="000000"/>
          <w:spacing w:val="-1"/>
          <w:bdr w:val="none" w:sz="0" w:space="0" w:color="auto" w:frame="1"/>
        </w:rPr>
        <w:t xml:space="preserve">relieve system constraints at lower cost. </w:t>
      </w:r>
    </w:p>
    <w:p w14:paraId="759B1090" w14:textId="77777777" w:rsidR="00211B54" w:rsidRPr="00FD2AA0" w:rsidRDefault="00211B54" w:rsidP="00CD56C0">
      <w:pPr>
        <w:spacing w:line="480" w:lineRule="auto"/>
        <w:ind w:left="720" w:hanging="720"/>
        <w:jc w:val="both"/>
      </w:pPr>
      <w:r w:rsidRPr="006A73DF">
        <w:rPr>
          <w:rFonts w:eastAsia="Times New Roman"/>
          <w:b/>
          <w:bCs/>
          <w:color w:val="000000"/>
          <w:spacing w:val="-1"/>
          <w:bdr w:val="none" w:sz="0" w:space="0" w:color="auto" w:frame="1"/>
        </w:rPr>
        <w:t>Q.</w:t>
      </w:r>
      <w:r>
        <w:rPr>
          <w:rFonts w:eastAsia="Times New Roman"/>
          <w:bCs/>
          <w:color w:val="000000"/>
          <w:spacing w:val="-1"/>
          <w:bdr w:val="none" w:sz="0" w:space="0" w:color="auto" w:frame="1"/>
        </w:rPr>
        <w:tab/>
      </w:r>
      <w:r w:rsidR="007F5BDA" w:rsidRPr="007F5BDA">
        <w:rPr>
          <w:rFonts w:eastAsia="Times New Roman"/>
          <w:b/>
          <w:bCs/>
          <w:color w:val="000000"/>
          <w:spacing w:val="-1"/>
          <w:bdr w:val="none" w:sz="0" w:space="0" w:color="auto" w:frame="1"/>
        </w:rPr>
        <w:t>The Company has suggested that incorporating LMP into its avoided cost methodology would mean charging customers more for QF generation that locates in more constrained areas. How do you respond?</w:t>
      </w:r>
      <w:r w:rsidR="007F5BDA">
        <w:rPr>
          <w:rFonts w:eastAsia="Times New Roman"/>
          <w:bCs/>
          <w:color w:val="000000"/>
          <w:spacing w:val="-1"/>
          <w:bdr w:val="none" w:sz="0" w:space="0" w:color="auto" w:frame="1"/>
        </w:rPr>
        <w:t xml:space="preserve"> </w:t>
      </w:r>
    </w:p>
    <w:p w14:paraId="58D74AD0" w14:textId="77777777" w:rsidR="005232D3" w:rsidRDefault="007F5BDA" w:rsidP="006A73DF">
      <w:pPr>
        <w:spacing w:line="480" w:lineRule="auto"/>
        <w:ind w:left="720" w:hanging="720"/>
        <w:jc w:val="both"/>
      </w:pPr>
      <w:r>
        <w:t>A.</w:t>
      </w:r>
      <w:r>
        <w:tab/>
        <w:t>On a project-specific basis, the assertion is correct, but any implication that the use of LMP will cost customers more as a general matter is incorrect. Under LMP, a</w:t>
      </w:r>
      <w:r w:rsidRPr="007F5BDA">
        <w:t>n area of high congestion on the system would have a high price until resources had been deployed to alleviate the congestion, at which point the locational marginal price would adjust downwards. This self-regulating feature helps to ensure that resources are deployed where they are most needed and helps to avoid over- or under-building the system, strengthening and improving the steady and measured approach to power sector resource development that the Commission has historically pursued</w:t>
      </w:r>
      <w:r>
        <w:t xml:space="preserve">. In short, while it is true that a QF locating in an area of high congestion would be paid more than is available currently, that doesn’t mean that customers will pay more in total system costs than under the current </w:t>
      </w:r>
      <w:r>
        <w:lastRenderedPageBreak/>
        <w:t xml:space="preserve">methodology. </w:t>
      </w:r>
      <w:r w:rsidRPr="00272760">
        <w:t xml:space="preserve">If implemented correctly, LMP will have the opposite effect: a lowering of system costs through </w:t>
      </w:r>
      <w:proofErr w:type="spellStart"/>
      <w:r w:rsidRPr="00272760">
        <w:t>locationally</w:t>
      </w:r>
      <w:proofErr w:type="spellEnd"/>
      <w:r w:rsidRPr="00272760">
        <w:t>-</w:t>
      </w:r>
      <w:r w:rsidR="00465321" w:rsidRPr="00272760">
        <w:t xml:space="preserve">optimal </w:t>
      </w:r>
      <w:r w:rsidRPr="00272760">
        <w:t>deployment of clean energy resources</w:t>
      </w:r>
      <w:r w:rsidR="00C01585">
        <w:t xml:space="preserve"> </w:t>
      </w:r>
      <w:r w:rsidR="00C01585" w:rsidRPr="006A73DF">
        <w:t>and the avoidance of investments in transmission and distribution</w:t>
      </w:r>
      <w:r w:rsidRPr="00272760">
        <w:t>.</w:t>
      </w:r>
    </w:p>
    <w:p w14:paraId="565DF9FC" w14:textId="77777777" w:rsidR="009D31B8" w:rsidRDefault="009D31B8" w:rsidP="006A73DF">
      <w:pPr>
        <w:spacing w:line="480" w:lineRule="auto"/>
        <w:ind w:left="720" w:hanging="720"/>
        <w:jc w:val="both"/>
      </w:pPr>
      <w:r w:rsidRPr="006A73DF">
        <w:rPr>
          <w:b/>
        </w:rPr>
        <w:t>Q.</w:t>
      </w:r>
      <w:r>
        <w:tab/>
      </w:r>
      <w:r w:rsidRPr="009D31B8">
        <w:rPr>
          <w:b/>
        </w:rPr>
        <w:t xml:space="preserve">The Company has also suggested that LMP is used primarily in </w:t>
      </w:r>
      <w:r w:rsidR="00C01585" w:rsidRPr="00743E2E">
        <w:rPr>
          <w:b/>
        </w:rPr>
        <w:t xml:space="preserve">deregulated </w:t>
      </w:r>
      <w:r w:rsidRPr="00743E2E">
        <w:rPr>
          <w:b/>
        </w:rPr>
        <w:t>markets</w:t>
      </w:r>
      <w:r w:rsidRPr="009D31B8">
        <w:rPr>
          <w:b/>
        </w:rPr>
        <w:t xml:space="preserve"> and would be difficult and costly to implement here. Do you agree?</w:t>
      </w:r>
      <w:r>
        <w:t xml:space="preserve"> </w:t>
      </w:r>
    </w:p>
    <w:p w14:paraId="6E4C0C04" w14:textId="77777777" w:rsidR="00FC6473" w:rsidRDefault="009D31B8" w:rsidP="009236F9">
      <w:pPr>
        <w:spacing w:after="120" w:line="480" w:lineRule="auto"/>
        <w:ind w:left="720" w:hanging="720"/>
        <w:jc w:val="both"/>
      </w:pPr>
      <w:r>
        <w:t>A.</w:t>
      </w:r>
      <w:r>
        <w:tab/>
        <w:t xml:space="preserve">No. </w:t>
      </w:r>
      <w:r w:rsidR="007D6E37">
        <w:t xml:space="preserve">As we stated </w:t>
      </w:r>
      <w:r w:rsidR="009B7468">
        <w:t>in</w:t>
      </w:r>
      <w:r w:rsidR="007D6E37">
        <w:t xml:space="preserve"> the opening hearing, LMP is used extensively in </w:t>
      </w:r>
      <w:r w:rsidR="00B624EB">
        <w:t>the Midcontinent Independent System Operator (</w:t>
      </w:r>
      <w:r w:rsidR="007D6E37">
        <w:t>MISO</w:t>
      </w:r>
      <w:r w:rsidR="00B624EB">
        <w:t>)</w:t>
      </w:r>
      <w:r w:rsidR="007D6E37">
        <w:t xml:space="preserve">, where only a relatively small percentage of generation comes from </w:t>
      </w:r>
      <w:r w:rsidR="00C01585" w:rsidRPr="006A73DF">
        <w:t>deregulated generation</w:t>
      </w:r>
      <w:r w:rsidR="007D6E37">
        <w:t xml:space="preserve">. That said, the extensive use of LMP within organized markets is a testament to its validity in sending effective market-based signals. The two </w:t>
      </w:r>
      <w:r w:rsidR="007D6E37" w:rsidRPr="00FC6473">
        <w:t xml:space="preserve">maps in </w:t>
      </w:r>
      <w:r w:rsidR="007D6E37" w:rsidRPr="006A73DF">
        <w:t xml:space="preserve">Figure </w:t>
      </w:r>
      <w:r w:rsidR="007A043D" w:rsidRPr="006A73DF">
        <w:t>1</w:t>
      </w:r>
      <w:r w:rsidR="007D6E37" w:rsidRPr="00FC6473">
        <w:t xml:space="preserve"> </w:t>
      </w:r>
      <w:r w:rsidR="00102029">
        <w:t xml:space="preserve">below </w:t>
      </w:r>
      <w:r w:rsidR="007D6E37" w:rsidRPr="00FC6473">
        <w:t>provide</w:t>
      </w:r>
      <w:r w:rsidR="007D6E37">
        <w:t xml:space="preserve"> a useful illustration. </w:t>
      </w:r>
    </w:p>
    <w:p w14:paraId="7675DCA0" w14:textId="77777777" w:rsidR="009B7468" w:rsidRPr="009236F9" w:rsidRDefault="009B7468" w:rsidP="009B7468">
      <w:pPr>
        <w:spacing w:line="480" w:lineRule="auto"/>
        <w:ind w:left="720"/>
        <w:jc w:val="both"/>
      </w:pPr>
      <w:r>
        <w:t xml:space="preserve">These are </w:t>
      </w:r>
      <w:r w:rsidRPr="009236F9">
        <w:t xml:space="preserve">heat maps of the 2018 locational marginal prices of two </w:t>
      </w:r>
      <w:r>
        <w:t>Regional Transmission Organizations (</w:t>
      </w:r>
      <w:r w:rsidRPr="009236F9">
        <w:t>RTOs</w:t>
      </w:r>
      <w:r>
        <w:t>)</w:t>
      </w:r>
      <w:r w:rsidRPr="009236F9">
        <w:t xml:space="preserve"> that also serve load in the south; the warmer the color, the higher the cost of serving load in that particular area. Both grids show a range of cost, </w:t>
      </w:r>
      <w:r>
        <w:t>with the</w:t>
      </w:r>
      <w:r w:rsidRPr="009236F9">
        <w:t xml:space="preserve"> mo</w:t>
      </w:r>
      <w:r>
        <w:t>st</w:t>
      </w:r>
      <w:r w:rsidRPr="009236F9">
        <w:t xml:space="preserve"> difficult areas to serve exhibit</w:t>
      </w:r>
      <w:r>
        <w:t>ing</w:t>
      </w:r>
      <w:r w:rsidRPr="009236F9">
        <w:t xml:space="preserve"> costs 2.5 to 3 times higher than the easiest areas. </w:t>
      </w:r>
    </w:p>
    <w:p w14:paraId="229DEAFA" w14:textId="77777777" w:rsidR="009B7468" w:rsidRDefault="009B7468" w:rsidP="009B7468">
      <w:pPr>
        <w:spacing w:line="480" w:lineRule="auto"/>
        <w:ind w:left="720"/>
        <w:jc w:val="both"/>
      </w:pPr>
      <w:r w:rsidRPr="009236F9">
        <w:t xml:space="preserve">With locational marginal pricing information available, an efficient means of addressing </w:t>
      </w:r>
      <w:r>
        <w:t>a</w:t>
      </w:r>
      <w:r w:rsidRPr="009236F9">
        <w:t xml:space="preserve"> constraint can be deployed. Markets require actionable information in order to allocate resources effectively</w:t>
      </w:r>
      <w:r>
        <w:t>,</w:t>
      </w:r>
      <w:r w:rsidRPr="009236F9">
        <w:t xml:space="preserve"> and locational marginal pricing would greatly improve the information available to the market.</w:t>
      </w:r>
    </w:p>
    <w:p w14:paraId="4896EDEB" w14:textId="77777777" w:rsidR="00FC6473" w:rsidRDefault="00FC6473" w:rsidP="00743E2E">
      <w:pPr>
        <w:suppressLineNumbers/>
        <w:jc w:val="center"/>
      </w:pPr>
      <w:r w:rsidRPr="009236F9">
        <w:rPr>
          <w:rFonts w:eastAsia="Times New Roman"/>
          <w:noProof/>
          <w:lang w:eastAsia="en-US"/>
        </w:rPr>
        <w:lastRenderedPageBreak/>
        <w:drawing>
          <wp:inline distT="0" distB="0" distL="0" distR="0" wp14:anchorId="327A402B" wp14:editId="52323E2C">
            <wp:extent cx="4663440" cy="3442467"/>
            <wp:effectExtent l="0" t="0" r="3810" b="5715"/>
            <wp:docPr id="2" name="Picture 2" descr="SN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L Image"/>
                    <pic:cNvPicPr>
                      <a:picLocks noChangeAspect="1" noChangeArrowheads="1"/>
                    </pic:cNvPicPr>
                  </pic:nvPicPr>
                  <pic:blipFill rotWithShape="1">
                    <a:blip r:embed="rId13">
                      <a:extLst>
                        <a:ext uri="{28A0092B-C50C-407E-A947-70E740481C1C}">
                          <a14:useLocalDpi xmlns:a14="http://schemas.microsoft.com/office/drawing/2010/main" val="0"/>
                        </a:ext>
                      </a:extLst>
                    </a:blip>
                    <a:srcRect b="5886"/>
                    <a:stretch/>
                  </pic:blipFill>
                  <pic:spPr bwMode="auto">
                    <a:xfrm>
                      <a:off x="0" y="0"/>
                      <a:ext cx="4663440" cy="3442467"/>
                    </a:xfrm>
                    <a:prstGeom prst="rect">
                      <a:avLst/>
                    </a:prstGeom>
                    <a:noFill/>
                    <a:ln>
                      <a:noFill/>
                    </a:ln>
                    <a:extLst>
                      <a:ext uri="{53640926-AAD7-44D8-BBD7-CCE9431645EC}">
                        <a14:shadowObscured xmlns:a14="http://schemas.microsoft.com/office/drawing/2010/main"/>
                      </a:ext>
                    </a:extLst>
                  </pic:spPr>
                </pic:pic>
              </a:graphicData>
            </a:graphic>
          </wp:inline>
        </w:drawing>
      </w:r>
    </w:p>
    <w:p w14:paraId="69521531" w14:textId="77777777" w:rsidR="00743E2E" w:rsidRDefault="00FC6473" w:rsidP="00743E2E">
      <w:pPr>
        <w:suppressLineNumbers/>
        <w:ind w:left="720" w:hanging="720"/>
        <w:jc w:val="center"/>
        <w:rPr>
          <w:rFonts w:eastAsia="Times New Roman"/>
        </w:rPr>
      </w:pPr>
      <w:r w:rsidRPr="009236F9">
        <w:rPr>
          <w:rFonts w:eastAsia="Times New Roman"/>
          <w:noProof/>
          <w:lang w:eastAsia="en-US"/>
        </w:rPr>
        <w:drawing>
          <wp:inline distT="0" distB="0" distL="0" distR="0" wp14:anchorId="6EE9DD48" wp14:editId="1C519BF0">
            <wp:extent cx="4663440" cy="3732843"/>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63440" cy="3732843"/>
                    </a:xfrm>
                    <a:prstGeom prst="rect">
                      <a:avLst/>
                    </a:prstGeom>
                  </pic:spPr>
                </pic:pic>
              </a:graphicData>
            </a:graphic>
          </wp:inline>
        </w:drawing>
      </w:r>
    </w:p>
    <w:p w14:paraId="5DA99E5B" w14:textId="0596128B" w:rsidR="00FC6473" w:rsidRPr="00743E2E" w:rsidRDefault="00FC6473" w:rsidP="00743E2E">
      <w:pPr>
        <w:suppressLineNumbers/>
        <w:spacing w:before="40"/>
        <w:ind w:left="720" w:hanging="720"/>
        <w:jc w:val="center"/>
        <w:rPr>
          <w:rFonts w:eastAsia="Times New Roman"/>
        </w:rPr>
      </w:pPr>
      <w:r w:rsidRPr="009236F9">
        <w:rPr>
          <w:rFonts w:eastAsia="Times New Roman"/>
          <w:i/>
          <w:iCs/>
        </w:rPr>
        <w:t xml:space="preserve">Figure </w:t>
      </w:r>
      <w:r>
        <w:rPr>
          <w:rFonts w:eastAsia="Times New Roman"/>
          <w:i/>
          <w:iCs/>
        </w:rPr>
        <w:t xml:space="preserve">1. </w:t>
      </w:r>
      <w:r w:rsidRPr="009236F9">
        <w:rPr>
          <w:rFonts w:eastAsia="Times New Roman"/>
          <w:i/>
          <w:iCs/>
        </w:rPr>
        <w:t xml:space="preserve"> 2018 Locational Marginal Prices in PJM and SPP </w:t>
      </w:r>
      <w:r w:rsidRPr="009236F9">
        <w:rPr>
          <w:rFonts w:eastAsia="Times New Roman"/>
          <w:vertAlign w:val="superscript"/>
        </w:rPr>
        <w:footnoteReference w:id="1"/>
      </w:r>
      <w:r w:rsidRPr="009236F9">
        <w:rPr>
          <w:rFonts w:eastAsia="Times New Roman"/>
          <w:i/>
          <w:iCs/>
          <w:vertAlign w:val="superscript"/>
        </w:rPr>
        <w:t>,</w:t>
      </w:r>
      <w:r w:rsidRPr="009236F9">
        <w:rPr>
          <w:rFonts w:eastAsia="Times New Roman"/>
          <w:vertAlign w:val="superscript"/>
        </w:rPr>
        <w:footnoteReference w:id="2"/>
      </w:r>
    </w:p>
    <w:p w14:paraId="5A83039D" w14:textId="77777777" w:rsidR="002366D1" w:rsidRPr="00EC6862" w:rsidRDefault="002366D1" w:rsidP="002366D1">
      <w:pPr>
        <w:spacing w:line="480" w:lineRule="auto"/>
        <w:ind w:left="720"/>
        <w:jc w:val="both"/>
      </w:pPr>
      <w:r w:rsidRPr="00EC6862">
        <w:lastRenderedPageBreak/>
        <w:t xml:space="preserve">We also find it somewhat odd that the Company would criticize LMP based on its use in organized markets when the Company is otherwise quite celebratory of market-based structures, such as its competitively-bid renewable procurement programs. To be clear, we are not advocating for deregulation, but rather for the regulated market to more </w:t>
      </w:r>
    </w:p>
    <w:p w14:paraId="4EF16E66" w14:textId="77777777" w:rsidR="00EC6862" w:rsidRDefault="00EC6862" w:rsidP="00EC6862">
      <w:pPr>
        <w:spacing w:line="480" w:lineRule="auto"/>
        <w:ind w:left="720"/>
        <w:jc w:val="both"/>
      </w:pPr>
      <w:r w:rsidRPr="00EC6862">
        <w:t xml:space="preserve">closely mimic the cost savings of market forces, an outcome the Commission is always, laudably, trying to achieve within the regulatory construct. </w:t>
      </w:r>
    </w:p>
    <w:p w14:paraId="4F2CEC57" w14:textId="7BF707C1" w:rsidR="009B7468" w:rsidRPr="00EC6862" w:rsidRDefault="009B7468" w:rsidP="00EC6862">
      <w:pPr>
        <w:spacing w:line="480" w:lineRule="auto"/>
        <w:ind w:left="720" w:hanging="720"/>
        <w:jc w:val="both"/>
      </w:pPr>
      <w:r w:rsidRPr="009236F9">
        <w:rPr>
          <w:b/>
        </w:rPr>
        <w:t>Q.</w:t>
      </w:r>
      <w:r w:rsidRPr="009236F9">
        <w:rPr>
          <w:b/>
        </w:rPr>
        <w:tab/>
        <w:t>The Company has also suggested that</w:t>
      </w:r>
      <w:r>
        <w:rPr>
          <w:b/>
        </w:rPr>
        <w:t xml:space="preserve"> implementing LMP would require the participation of all the Southern Company retail operating companies, including those not regulated by this Commission. How do you respond? </w:t>
      </w:r>
    </w:p>
    <w:p w14:paraId="097392EF" w14:textId="77777777" w:rsidR="009B7468" w:rsidRDefault="009B7468" w:rsidP="00860BFB">
      <w:pPr>
        <w:spacing w:line="480" w:lineRule="auto"/>
        <w:ind w:left="720" w:hanging="720"/>
        <w:jc w:val="both"/>
      </w:pPr>
      <w:r>
        <w:t>A.</w:t>
      </w:r>
      <w:r>
        <w:tab/>
        <w:t>We do not see that as an obstacle. While we recognize the retail operating companies</w:t>
      </w:r>
      <w:r>
        <w:rPr>
          <w:b/>
        </w:rPr>
        <w:t xml:space="preserve"> </w:t>
      </w:r>
      <w:r>
        <w:t xml:space="preserve">dispatch as a system, and that system lambda is a Southern Company system value, that doesn’t mean that the retail operating companies must all operate in the same way. After all, the Georgia Power panel acknowledged that the other Southern Company retail operating companies do not use the RCB Framework, even though it was developed by Southern Company. Even if confined to Georgia, LMP will deliver cost savings to Georgia Power customers. </w:t>
      </w:r>
    </w:p>
    <w:p w14:paraId="31D89FAF" w14:textId="77777777" w:rsidR="00DD1309" w:rsidRPr="00DD1309" w:rsidRDefault="00DD1309" w:rsidP="00F50583">
      <w:pPr>
        <w:spacing w:line="480" w:lineRule="auto"/>
        <w:ind w:left="720"/>
        <w:jc w:val="both"/>
      </w:pPr>
      <w:r>
        <w:t xml:space="preserve">In their opening testimony, the Company panel credited the Commission with protecting customers from “inefficient siting decisions” through its implementation of PURPA’s interconnection requirements. At the opening hearing, Company witness Mallard agreed with the </w:t>
      </w:r>
      <w:r w:rsidR="00DA3CA9">
        <w:t>converse premise</w:t>
      </w:r>
      <w:r>
        <w:t xml:space="preserve">: that </w:t>
      </w:r>
      <w:r>
        <w:rPr>
          <w:i/>
        </w:rPr>
        <w:t xml:space="preserve">efficient </w:t>
      </w:r>
      <w:r>
        <w:t>siting decisions would also produce ratepayer benefits.</w:t>
      </w:r>
      <w:r w:rsidR="00DA3CA9">
        <w:rPr>
          <w:rStyle w:val="FootnoteReference"/>
        </w:rPr>
        <w:footnoteReference w:id="3"/>
      </w:r>
      <w:r>
        <w:t xml:space="preserve"> </w:t>
      </w:r>
      <w:r w:rsidR="00DA3CA9">
        <w:t xml:space="preserve">We are simply proposing a mechanism by which ratepayers could realize those benefits, which we believe would be substantial. </w:t>
      </w:r>
    </w:p>
    <w:p w14:paraId="5E72D3A4" w14:textId="77777777" w:rsidR="00A46B08" w:rsidRDefault="00A46B08" w:rsidP="00860BFB">
      <w:pPr>
        <w:spacing w:line="480" w:lineRule="auto"/>
        <w:ind w:left="720" w:hanging="720"/>
        <w:jc w:val="both"/>
        <w:rPr>
          <w:b/>
        </w:rPr>
      </w:pPr>
      <w:r w:rsidRPr="00F50583">
        <w:rPr>
          <w:b/>
        </w:rPr>
        <w:lastRenderedPageBreak/>
        <w:t>Q.</w:t>
      </w:r>
      <w:r>
        <w:tab/>
      </w:r>
      <w:r w:rsidRPr="00A46B08">
        <w:rPr>
          <w:b/>
        </w:rPr>
        <w:t>Before we leave this topic, what do you make of the Company’s assertion that the system is too dynamic for LMP to be effective?</w:t>
      </w:r>
    </w:p>
    <w:p w14:paraId="762E16F6" w14:textId="77777777" w:rsidR="00A46B08" w:rsidRDefault="00A46B08" w:rsidP="00860BFB">
      <w:pPr>
        <w:spacing w:line="480" w:lineRule="auto"/>
        <w:ind w:left="720" w:hanging="720"/>
        <w:jc w:val="both"/>
      </w:pPr>
      <w:r>
        <w:t>A.</w:t>
      </w:r>
      <w:r>
        <w:tab/>
        <w:t xml:space="preserve">We find that assertion belied by the experience of utilities in the many areas of the country that have long used LMP. Those utility systems have the same dynamic elements as the system here, and that has not prevented LMP from serving the very useful market function of alleviating system constraints at the lowest cost. </w:t>
      </w:r>
    </w:p>
    <w:p w14:paraId="6133DA25" w14:textId="77777777" w:rsidR="00911A3B" w:rsidRDefault="006B32C1" w:rsidP="00860BFB">
      <w:pPr>
        <w:spacing w:line="480" w:lineRule="auto"/>
        <w:ind w:left="720" w:hanging="720"/>
        <w:jc w:val="both"/>
        <w:rPr>
          <w:b/>
        </w:rPr>
      </w:pPr>
      <w:r>
        <w:rPr>
          <w:b/>
        </w:rPr>
        <w:t>Q.</w:t>
      </w:r>
      <w:r>
        <w:rPr>
          <w:b/>
        </w:rPr>
        <w:tab/>
        <w:t>T</w:t>
      </w:r>
      <w:r w:rsidR="00911A3B" w:rsidRPr="00911A3B">
        <w:rPr>
          <w:b/>
        </w:rPr>
        <w:t>urning now to</w:t>
      </w:r>
      <w:r>
        <w:rPr>
          <w:b/>
        </w:rPr>
        <w:t xml:space="preserve"> avoided cost adjustments,</w:t>
      </w:r>
      <w:r w:rsidR="00911A3B" w:rsidRPr="00911A3B">
        <w:rPr>
          <w:b/>
        </w:rPr>
        <w:t xml:space="preserve"> </w:t>
      </w:r>
      <w:r w:rsidR="00911A3B">
        <w:rPr>
          <w:b/>
        </w:rPr>
        <w:t xml:space="preserve">Georgia Power has noted that the </w:t>
      </w:r>
      <w:r w:rsidR="00656BD6">
        <w:rPr>
          <w:b/>
        </w:rPr>
        <w:t xml:space="preserve">Docket </w:t>
      </w:r>
      <w:r w:rsidR="00911A3B">
        <w:rPr>
          <w:b/>
        </w:rPr>
        <w:t xml:space="preserve">4822 formula already accounts for unit commitment costs, and </w:t>
      </w:r>
      <w:r w:rsidR="00DA3CA9">
        <w:rPr>
          <w:b/>
        </w:rPr>
        <w:t xml:space="preserve">that </w:t>
      </w:r>
      <w:r w:rsidR="00911A3B">
        <w:rPr>
          <w:b/>
        </w:rPr>
        <w:t>to the extent you may have been unclear precisely how the Company calculates this adder, its response</w:t>
      </w:r>
      <w:r w:rsidR="008634FF">
        <w:rPr>
          <w:b/>
        </w:rPr>
        <w:t>s</w:t>
      </w:r>
      <w:r w:rsidR="00911A3B">
        <w:rPr>
          <w:b/>
        </w:rPr>
        <w:t xml:space="preserve"> to data request</w:t>
      </w:r>
      <w:r w:rsidR="008634FF">
        <w:rPr>
          <w:b/>
        </w:rPr>
        <w:t>s</w:t>
      </w:r>
      <w:r w:rsidR="00911A3B">
        <w:rPr>
          <w:b/>
        </w:rPr>
        <w:t xml:space="preserve"> STF-6-9</w:t>
      </w:r>
      <w:r w:rsidR="008634FF">
        <w:rPr>
          <w:b/>
        </w:rPr>
        <w:t xml:space="preserve"> </w:t>
      </w:r>
      <w:r w:rsidR="00911A3B">
        <w:rPr>
          <w:b/>
        </w:rPr>
        <w:t xml:space="preserve">provide that information. How do you respond? </w:t>
      </w:r>
    </w:p>
    <w:p w14:paraId="17BC8578" w14:textId="37239C1E" w:rsidR="002366D1" w:rsidRPr="002366D1" w:rsidRDefault="00911A3B" w:rsidP="002366D1">
      <w:pPr>
        <w:spacing w:line="480" w:lineRule="auto"/>
        <w:ind w:left="720" w:hanging="720"/>
        <w:jc w:val="both"/>
      </w:pPr>
      <w:r w:rsidRPr="00911A3B">
        <w:t>A.</w:t>
      </w:r>
      <w:r w:rsidRPr="00911A3B">
        <w:tab/>
      </w:r>
      <w:r w:rsidR="00F50583">
        <w:t xml:space="preserve">The Company’s more recent response to STF-10-4 is also relevant here. </w:t>
      </w:r>
      <w:r w:rsidR="007C5E0F">
        <w:t xml:space="preserve">The information provided in </w:t>
      </w:r>
      <w:r w:rsidR="00F50583">
        <w:t xml:space="preserve">response to those two </w:t>
      </w:r>
      <w:r w:rsidR="008634FF">
        <w:t>data requests</w:t>
      </w:r>
      <w:r w:rsidR="007C5E0F">
        <w:t xml:space="preserve"> </w:t>
      </w:r>
      <w:r w:rsidR="00F50583">
        <w:t xml:space="preserve">shows </w:t>
      </w:r>
      <w:r w:rsidR="007C5E0F">
        <w:t xml:space="preserve">that the </w:t>
      </w:r>
      <w:r w:rsidR="00F50583">
        <w:t xml:space="preserve">Company’s </w:t>
      </w:r>
      <w:r w:rsidR="007C5E0F">
        <w:t xml:space="preserve">approach to unit commitment costs is neither unit specific nor directionally consistent; it adds and subtracts equal amounts of load into a simulation and then averages the results. It’s not clear from </w:t>
      </w:r>
      <w:r w:rsidR="00F50583">
        <w:t xml:space="preserve">these </w:t>
      </w:r>
      <w:r w:rsidR="007C5E0F">
        <w:t>response</w:t>
      </w:r>
      <w:r w:rsidR="00F50583">
        <w:t>s</w:t>
      </w:r>
      <w:r w:rsidR="007C5E0F">
        <w:t xml:space="preserve"> that our concerns about uneconomic dispatch are addressed by this methodology.</w:t>
      </w:r>
      <w:r w:rsidR="008634FF">
        <w:t xml:space="preserve"> </w:t>
      </w:r>
      <w:r w:rsidR="00F50583">
        <w:t xml:space="preserve">Hence, </w:t>
      </w:r>
      <w:r w:rsidR="00F50583" w:rsidRPr="00F15367">
        <w:t>d</w:t>
      </w:r>
      <w:r w:rsidR="008634FF" w:rsidRPr="00F15367">
        <w:t>espite staff</w:t>
      </w:r>
      <w:r w:rsidR="00F50583" w:rsidRPr="00F15367">
        <w:t>’s</w:t>
      </w:r>
      <w:r w:rsidR="008634FF" w:rsidRPr="00F15367">
        <w:t xml:space="preserve"> </w:t>
      </w:r>
      <w:r w:rsidR="00F50583" w:rsidRPr="00F15367">
        <w:t xml:space="preserve">efforts </w:t>
      </w:r>
      <w:r w:rsidR="008634FF" w:rsidRPr="00F15367">
        <w:t>to get a clear answer on this topic, the lack of transparency regarding unit dispatch and cost allocation make it impossible for us to assess whether unit commitment costs are fully captured</w:t>
      </w:r>
      <w:r w:rsidR="008634FF">
        <w:t>.</w:t>
      </w:r>
      <w:r w:rsidR="002366D1">
        <w:rPr>
          <w:b/>
        </w:rPr>
        <w:br w:type="page"/>
      </w:r>
    </w:p>
    <w:p w14:paraId="6D5AE095" w14:textId="70BCD822" w:rsidR="007E7BF9" w:rsidRDefault="007E7BF9" w:rsidP="00860BFB">
      <w:pPr>
        <w:spacing w:line="480" w:lineRule="auto"/>
        <w:ind w:left="720" w:hanging="720"/>
        <w:jc w:val="both"/>
      </w:pPr>
      <w:r w:rsidRPr="006B32C1">
        <w:rPr>
          <w:b/>
        </w:rPr>
        <w:lastRenderedPageBreak/>
        <w:t>Q.</w:t>
      </w:r>
      <w:r w:rsidRPr="006B32C1">
        <w:rPr>
          <w:b/>
        </w:rPr>
        <w:tab/>
      </w:r>
      <w:r w:rsidR="006B32C1">
        <w:rPr>
          <w:b/>
        </w:rPr>
        <w:t xml:space="preserve">Now moving from </w:t>
      </w:r>
      <w:r w:rsidR="006B32C1" w:rsidRPr="006B32C1">
        <w:rPr>
          <w:b/>
        </w:rPr>
        <w:t xml:space="preserve">commitment costs to other avoided cost adjustments, </w:t>
      </w:r>
      <w:r w:rsidR="006B32C1">
        <w:rPr>
          <w:b/>
        </w:rPr>
        <w:t>w</w:t>
      </w:r>
      <w:r w:rsidRPr="007E7BF9">
        <w:rPr>
          <w:b/>
        </w:rPr>
        <w:t>hile the Company proposes to eliminate the fuel cost and marginal cost multipliers, GLSSA witness John Wilson has argued they should be retained and improved. What is your view of Mr. Wilson’s suggestions?</w:t>
      </w:r>
      <w:r>
        <w:t xml:space="preserve"> </w:t>
      </w:r>
    </w:p>
    <w:p w14:paraId="5266A199" w14:textId="77777777" w:rsidR="007E7BF9" w:rsidRDefault="007E7BF9" w:rsidP="00860BFB">
      <w:pPr>
        <w:spacing w:line="480" w:lineRule="auto"/>
        <w:ind w:left="720" w:hanging="720"/>
        <w:jc w:val="both"/>
      </w:pPr>
      <w:r>
        <w:rPr>
          <w:caps/>
        </w:rPr>
        <w:t xml:space="preserve">A. </w:t>
      </w:r>
      <w:r>
        <w:rPr>
          <w:caps/>
        </w:rPr>
        <w:tab/>
      </w:r>
      <w:r>
        <w:t xml:space="preserve">While our opening testimony did not focus on those multipliers, we support </w:t>
      </w:r>
      <w:r w:rsidR="00035784">
        <w:t xml:space="preserve">an inquiry into whether </w:t>
      </w:r>
      <w:r w:rsidR="00DA3CA9">
        <w:t>they</w:t>
      </w:r>
      <w:r w:rsidR="00035784">
        <w:t xml:space="preserve"> are being calculated and applied correctly. This should be done instead of simply dispensing with the multipliers as Georgia Power has suggested. We suspect that, contrary to GPC’s claims, those multipliers have not outlived their usefulness; it’s more a matter of adjusting them to reflect current and expected conditions. In addition, we agree with Mr. Wilson that as the details of those two multipliers become clearer through this proceeding, it may be important to reevaluate the start-up and commitment cost adder, which our testimony does address. Indeed, Georgia Power has asserted that the marginal cost multiplier is obsolete, in part, because the startup and commitment adder already capture</w:t>
      </w:r>
      <w:r w:rsidR="00F15367">
        <w:t>s</w:t>
      </w:r>
      <w:r w:rsidR="00035784">
        <w:t xml:space="preserve"> those costs. To the extent that any revisions to the fuel cost and marginal cost multipliers have impacts on the startup and commitment adder, those impacts should be clearly delineated and understood. </w:t>
      </w:r>
    </w:p>
    <w:p w14:paraId="465252F5" w14:textId="77777777" w:rsidR="006B32C1" w:rsidRPr="007F00DD" w:rsidRDefault="006B32C1" w:rsidP="00860BFB">
      <w:pPr>
        <w:spacing w:line="480" w:lineRule="auto"/>
        <w:ind w:left="720" w:hanging="720"/>
        <w:jc w:val="both"/>
        <w:rPr>
          <w:rFonts w:eastAsia="Calibri"/>
          <w:b/>
          <w:lang w:eastAsia="en-US"/>
        </w:rPr>
      </w:pPr>
      <w:r w:rsidRPr="007F00DD">
        <w:rPr>
          <w:rFonts w:eastAsia="Calibri"/>
          <w:b/>
          <w:lang w:eastAsia="en-US"/>
        </w:rPr>
        <w:t>Q.</w:t>
      </w:r>
      <w:r w:rsidRPr="007F00DD">
        <w:rPr>
          <w:rFonts w:eastAsia="Calibri"/>
          <w:b/>
          <w:lang w:eastAsia="en-US"/>
        </w:rPr>
        <w:tab/>
      </w:r>
      <w:r>
        <w:rPr>
          <w:rFonts w:eastAsia="Calibri"/>
          <w:b/>
          <w:lang w:eastAsia="en-US"/>
        </w:rPr>
        <w:t xml:space="preserve">Do you have any other concerns with Georgia Power’s proposed changes to the avoided cost methodology? </w:t>
      </w:r>
    </w:p>
    <w:p w14:paraId="42A05225" w14:textId="2AC3B75A" w:rsidR="00534867" w:rsidRPr="00534867" w:rsidRDefault="006B32C1" w:rsidP="00534867">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Yes. There are several areas of this case where we still face a black box challenge. For example, we are unable to understand exactly how the Company’s proposed modifications to the avoided cost methodology will impact avoided costs. The Company’s filing is unclear. The avoided energy </w:t>
      </w:r>
      <w:proofErr w:type="spellStart"/>
      <w:r>
        <w:rPr>
          <w:rFonts w:eastAsia="Calibri"/>
          <w:lang w:eastAsia="en-US"/>
        </w:rPr>
        <w:t>RenVal</w:t>
      </w:r>
      <w:proofErr w:type="spellEnd"/>
      <w:r>
        <w:rPr>
          <w:rFonts w:eastAsia="Calibri"/>
          <w:lang w:eastAsia="en-US"/>
        </w:rPr>
        <w:t xml:space="preserve"> results in the Company’s Exhibit 2 do not match up with the final values filed in the same exhibit, showing a double-digit percentage </w:t>
      </w:r>
      <w:r>
        <w:rPr>
          <w:rFonts w:eastAsia="Calibri"/>
          <w:lang w:eastAsia="en-US"/>
        </w:rPr>
        <w:lastRenderedPageBreak/>
        <w:t>discrepancy</w:t>
      </w:r>
      <w:r w:rsidR="00C71C00">
        <w:rPr>
          <w:rFonts w:eastAsia="Calibri"/>
          <w:lang w:eastAsia="en-US"/>
        </w:rPr>
        <w:t xml:space="preserve"> </w:t>
      </w:r>
      <w:r w:rsidR="00C71C00" w:rsidRPr="00F15367">
        <w:rPr>
          <w:rFonts w:eastAsia="Calibri"/>
          <w:lang w:eastAsia="en-US"/>
        </w:rPr>
        <w:t>in four of the next ten years</w:t>
      </w:r>
      <w:r w:rsidRPr="00F15367">
        <w:rPr>
          <w:rFonts w:eastAsia="Calibri"/>
          <w:lang w:eastAsia="en-US"/>
        </w:rPr>
        <w:t>.</w:t>
      </w:r>
      <w:r w:rsidR="00C71C00" w:rsidRPr="00F15367">
        <w:rPr>
          <w:rFonts w:eastAsia="Calibri"/>
          <w:lang w:eastAsia="en-US"/>
        </w:rPr>
        <w:t xml:space="preserve"> We are unaware of a rationale for this mismatch</w:t>
      </w:r>
      <w:r w:rsidR="00C71C00">
        <w:rPr>
          <w:rFonts w:eastAsia="Calibri"/>
          <w:lang w:eastAsia="en-US"/>
        </w:rPr>
        <w:t xml:space="preserve">. </w:t>
      </w:r>
      <w:r w:rsidR="00F15367">
        <w:rPr>
          <w:rFonts w:eastAsia="Calibri"/>
          <w:lang w:eastAsia="en-US"/>
        </w:rPr>
        <w:t xml:space="preserve">Our attempts </w:t>
      </w:r>
      <w:r>
        <w:rPr>
          <w:rFonts w:eastAsia="Calibri"/>
          <w:lang w:eastAsia="en-US"/>
        </w:rPr>
        <w:t xml:space="preserve">to evaluate the Company’s system lambda and dispatch filings faced similar issues, making it impossible to assess the credibility of the Company’s claims.  All of the figures submitted by the Company show that their proposed changes would reduce the avoided cost, but the exact impacts are still difficult to validate.  </w:t>
      </w:r>
      <w:bookmarkStart w:id="12" w:name="_Toc57906056"/>
      <w:bookmarkStart w:id="13" w:name="_Toc57906057"/>
      <w:bookmarkStart w:id="14" w:name="_Toc57906645"/>
      <w:bookmarkEnd w:id="9"/>
      <w:bookmarkEnd w:id="12"/>
      <w:bookmarkEnd w:id="13"/>
    </w:p>
    <w:p w14:paraId="02E04077" w14:textId="2BC86A3C" w:rsidR="001C02AA" w:rsidRPr="00A15D10" w:rsidRDefault="001C02AA" w:rsidP="00860BFB">
      <w:pPr>
        <w:pStyle w:val="OutlineL1"/>
        <w:numPr>
          <w:ilvl w:val="0"/>
          <w:numId w:val="72"/>
        </w:numPr>
        <w:spacing w:before="240" w:after="240" w:line="360" w:lineRule="auto"/>
        <w:rPr>
          <w:spacing w:val="20"/>
          <w:szCs w:val="24"/>
        </w:rPr>
      </w:pPr>
      <w:r w:rsidRPr="00A15D10">
        <w:rPr>
          <w:spacing w:val="20"/>
          <w:szCs w:val="24"/>
        </w:rPr>
        <w:t xml:space="preserve">CONCERNS REGARDING GEORGIA POWER’S </w:t>
      </w:r>
      <w:r w:rsidR="00860BFB">
        <w:rPr>
          <w:spacing w:val="20"/>
          <w:szCs w:val="24"/>
        </w:rPr>
        <w:br/>
      </w:r>
      <w:r w:rsidRPr="00A15D10">
        <w:rPr>
          <w:spacing w:val="20"/>
          <w:szCs w:val="24"/>
        </w:rPr>
        <w:t>PROPOSAL TO APPLY ASPECTS OF THE RCB FRAMEWORK TO DETERMINING QF COMPENSATION</w:t>
      </w:r>
      <w:bookmarkEnd w:id="14"/>
    </w:p>
    <w:p w14:paraId="7015B90B" w14:textId="77777777" w:rsidR="001C02AA" w:rsidRPr="001C02AA" w:rsidRDefault="001C02AA" w:rsidP="001C02AA">
      <w:pPr>
        <w:spacing w:line="480" w:lineRule="auto"/>
        <w:ind w:left="720" w:hanging="720"/>
        <w:jc w:val="both"/>
        <w:rPr>
          <w:b/>
          <w:bCs/>
        </w:rPr>
      </w:pPr>
      <w:r w:rsidRPr="001C02AA">
        <w:rPr>
          <w:b/>
          <w:bCs/>
        </w:rPr>
        <w:t>Q.</w:t>
      </w:r>
      <w:r w:rsidRPr="001C02AA">
        <w:rPr>
          <w:b/>
          <w:bCs/>
        </w:rPr>
        <w:tab/>
        <w:t>Georgia Power proposes to apply the “energy aspects” of the RCB Framework to determine the appropriate pricing to be paid to Q</w:t>
      </w:r>
      <w:r w:rsidR="00656BD6">
        <w:rPr>
          <w:b/>
          <w:bCs/>
        </w:rPr>
        <w:t xml:space="preserve">Fs contracting under Docket </w:t>
      </w:r>
      <w:r w:rsidRPr="001C02AA">
        <w:rPr>
          <w:b/>
          <w:bCs/>
        </w:rPr>
        <w:t>4822. Specifically, Georgia Power proposes to apply the following RCB components to the pricing calculation for standard offer QFs: Reduced Transmission Losses, Reduced Distribution Losses, and Support Capacity production costs associated with regulation. What do you think about this proposal?</w:t>
      </w:r>
    </w:p>
    <w:p w14:paraId="0C68D476" w14:textId="77777777" w:rsidR="001C02AA" w:rsidRDefault="001C02AA" w:rsidP="001C02AA">
      <w:pPr>
        <w:spacing w:line="480" w:lineRule="auto"/>
        <w:ind w:left="720" w:hanging="720"/>
        <w:jc w:val="both"/>
      </w:pPr>
      <w:r w:rsidRPr="001C02AA">
        <w:t>A.</w:t>
      </w:r>
      <w:r w:rsidRPr="001C02AA">
        <w:tab/>
        <w:t>We have two concerns with this proposal from Georgia Power: (1) dramatic variability in the estimated Support Capacity adjustments, particularly for behind-the-meter distributed solar, and (2) a lack of transparency in the derivation of the Support Capacity adjustment values.</w:t>
      </w:r>
    </w:p>
    <w:p w14:paraId="66A7F63C" w14:textId="6048E46C" w:rsidR="002366D1" w:rsidRPr="002366D1" w:rsidRDefault="0070403F" w:rsidP="002366D1">
      <w:pPr>
        <w:spacing w:line="480" w:lineRule="auto"/>
        <w:ind w:left="720" w:hanging="720"/>
        <w:jc w:val="both"/>
      </w:pPr>
      <w:r>
        <w:tab/>
        <w:t xml:space="preserve">In addition, we </w:t>
      </w:r>
      <w:r w:rsidR="00656BD6">
        <w:t>have concerns about applying the RCB, approved as a comprehensive framework, in a piecemeal fashion.</w:t>
      </w:r>
      <w:r>
        <w:t xml:space="preserve"> </w:t>
      </w:r>
      <w:r w:rsidR="002366D1">
        <w:rPr>
          <w:b/>
          <w:bCs/>
        </w:rPr>
        <w:br w:type="page"/>
      </w:r>
    </w:p>
    <w:p w14:paraId="585A60AD" w14:textId="3B6D2EC4" w:rsidR="002366D1" w:rsidRDefault="0070403F" w:rsidP="002366D1">
      <w:pPr>
        <w:spacing w:line="480" w:lineRule="auto"/>
        <w:ind w:left="720" w:hanging="720"/>
        <w:jc w:val="both"/>
        <w:rPr>
          <w:b/>
          <w:bCs/>
        </w:rPr>
      </w:pPr>
      <w:r w:rsidRPr="0070403F">
        <w:rPr>
          <w:b/>
          <w:bCs/>
        </w:rPr>
        <w:lastRenderedPageBreak/>
        <w:t>Q.</w:t>
      </w:r>
      <w:r w:rsidRPr="0070403F">
        <w:rPr>
          <w:b/>
          <w:bCs/>
        </w:rPr>
        <w:tab/>
        <w:t>Please explain what you mean by dramatic variability in the proposed Support Capacity adjustments.</w:t>
      </w:r>
    </w:p>
    <w:p w14:paraId="241F25C8" w14:textId="64A2E5E5" w:rsidR="0070403F" w:rsidRPr="002366D1" w:rsidRDefault="0070403F" w:rsidP="002366D1">
      <w:pPr>
        <w:spacing w:line="480" w:lineRule="auto"/>
        <w:ind w:left="720" w:hanging="720"/>
        <w:jc w:val="both"/>
        <w:rPr>
          <w:b/>
          <w:bCs/>
        </w:rPr>
      </w:pPr>
      <w:r>
        <w:t>A.</w:t>
      </w:r>
      <w:r>
        <w:tab/>
      </w:r>
      <w:r w:rsidRPr="0070403F">
        <w:t>Georgia Power’s Exhibit 2 includes an eleven-year forecast of the Support Capacity adjustment values for four technology types.</w:t>
      </w:r>
      <w:r w:rsidRPr="0070403F">
        <w:rPr>
          <w:vertAlign w:val="superscript"/>
        </w:rPr>
        <w:footnoteReference w:id="4"/>
      </w:r>
      <w:r w:rsidRPr="0070403F">
        <w:t xml:space="preserve"> The foreca</w:t>
      </w:r>
      <w:r w:rsidR="00E35220">
        <w:t>sted values vary significantly.</w:t>
      </w:r>
      <w:r w:rsidR="00E35220">
        <w:rPr>
          <w:rStyle w:val="FootnoteReference"/>
        </w:rPr>
        <w:footnoteReference w:id="5"/>
      </w:r>
      <w:r w:rsidR="00E35220">
        <w:t xml:space="preserve"> </w:t>
      </w:r>
      <w:r w:rsidRPr="0070403F">
        <w:t>The variability is most pronounced for behind-the-meter distributed</w:t>
      </w:r>
      <w:r w:rsidR="003B092D">
        <w:t xml:space="preserve"> generation</w:t>
      </w:r>
      <w:r w:rsidRPr="0070403F">
        <w:t xml:space="preserve"> (BTM DG) solar. The 2021 BTM DG adjustment value is more than 12-fold greater than the 2020 adjustment value. The 2024 BTM DG adjustment value is nearly 19-fold greater than the 2020 adjustment value. </w:t>
      </w:r>
    </w:p>
    <w:p w14:paraId="59F93F5F" w14:textId="77777777" w:rsidR="0070403F" w:rsidRPr="00743E2E" w:rsidRDefault="0070403F" w:rsidP="0070403F">
      <w:pPr>
        <w:spacing w:line="480" w:lineRule="auto"/>
        <w:ind w:left="720"/>
        <w:jc w:val="both"/>
        <w:rPr>
          <w:spacing w:val="-2"/>
        </w:rPr>
      </w:pPr>
      <w:r w:rsidRPr="00743E2E">
        <w:rPr>
          <w:spacing w:val="-2"/>
        </w:rPr>
        <w:t xml:space="preserve">While these adjustments appear small on a per-kilowatt-hour basis, their impact is significant. Georgia Power’s Exhibit 3 provides sample calculations of the hourly compensation for </w:t>
      </w:r>
      <w:r w:rsidRPr="00743E2E">
        <w:t>different types of QFs for one month, using the Company’s proposed RCB approach (i.e. including T&amp;D losses and the 2020 Support Capacity adjustment value).</w:t>
      </w:r>
      <w:r w:rsidRPr="00743E2E">
        <w:rPr>
          <w:spacing w:val="-2"/>
        </w:rPr>
        <w:t xml:space="preserve"> </w:t>
      </w:r>
    </w:p>
    <w:p w14:paraId="4A0117EC" w14:textId="50EA2428" w:rsidR="0070403F" w:rsidRPr="0070403F" w:rsidRDefault="0070403F" w:rsidP="0070403F">
      <w:pPr>
        <w:spacing w:line="480" w:lineRule="auto"/>
        <w:ind w:left="720"/>
        <w:jc w:val="both"/>
      </w:pPr>
      <w:r w:rsidRPr="0070403F">
        <w:t xml:space="preserve">For the purpose of evaluating </w:t>
      </w:r>
      <w:r w:rsidR="00C71C00" w:rsidRPr="00F15367">
        <w:t xml:space="preserve">and isolating </w:t>
      </w:r>
      <w:r w:rsidRPr="0070403F">
        <w:t xml:space="preserve">the impact of the future variability in Georgia Power’s proposed Support Capacity adjustments, we re-ran Georgia Power’s Exhibit 3 calculation using the eleven-year forecast of Support Capacity adjustments provided in </w:t>
      </w:r>
      <w:r w:rsidR="00EC6862">
        <w:t xml:space="preserve">Georgia Power’s </w:t>
      </w:r>
      <w:r w:rsidRPr="0070403F">
        <w:t>Exhibit 2</w:t>
      </w:r>
      <w:r w:rsidR="00EC6862">
        <w:t xml:space="preserve"> (attached as Cox &amp; Jester, Exhibit 1)</w:t>
      </w:r>
      <w:r w:rsidRPr="0070403F">
        <w:t>.</w:t>
      </w:r>
      <w:r w:rsidRPr="0070403F">
        <w:rPr>
          <w:vertAlign w:val="superscript"/>
        </w:rPr>
        <w:footnoteReference w:id="6"/>
      </w:r>
      <w:r w:rsidRPr="0070403F">
        <w:t xml:space="preserve"> The estimated monthly behind-the-meter solar QF compensation </w:t>
      </w:r>
      <w:r w:rsidRPr="002366D1">
        <w:rPr>
          <w:spacing w:val="-2"/>
        </w:rPr>
        <w:t xml:space="preserve">is approximately </w:t>
      </w:r>
      <w:r w:rsidR="003E677A" w:rsidRPr="002366D1">
        <w:rPr>
          <w:spacing w:val="-2"/>
        </w:rPr>
        <w:t>7%</w:t>
      </w:r>
      <w:r w:rsidRPr="002366D1">
        <w:rPr>
          <w:spacing w:val="-2"/>
        </w:rPr>
        <w:t xml:space="preserve"> lower in 2021 than it was in 2020</w:t>
      </w:r>
      <w:r w:rsidR="00C71C00" w:rsidRPr="002366D1">
        <w:rPr>
          <w:spacing w:val="-2"/>
        </w:rPr>
        <w:t>, holding all other variables constant</w:t>
      </w:r>
      <w:r w:rsidRPr="002366D1">
        <w:rPr>
          <w:spacing w:val="-2"/>
        </w:rPr>
        <w:t>. The 2024 compensation is 12</w:t>
      </w:r>
      <w:r w:rsidR="003E677A" w:rsidRPr="002366D1">
        <w:rPr>
          <w:spacing w:val="-2"/>
        </w:rPr>
        <w:t>%</w:t>
      </w:r>
      <w:r w:rsidRPr="002366D1">
        <w:rPr>
          <w:spacing w:val="-2"/>
        </w:rPr>
        <w:t xml:space="preserve"> lower. It is fair to</w:t>
      </w:r>
      <w:r w:rsidRPr="0070403F">
        <w:t xml:space="preserve"> say that anyone involved in this proceeding would object to such annual variation </w:t>
      </w:r>
      <w:r w:rsidRPr="002366D1">
        <w:rPr>
          <w:spacing w:val="-4"/>
        </w:rPr>
        <w:t xml:space="preserve">in their salary. </w:t>
      </w:r>
      <w:r w:rsidRPr="002366D1">
        <w:rPr>
          <w:spacing w:val="-2"/>
        </w:rPr>
        <w:t>This variability is material and merits better explanation and more transparency.</w:t>
      </w:r>
    </w:p>
    <w:p w14:paraId="26FF8E9B" w14:textId="77777777" w:rsidR="00D73503" w:rsidRPr="0070403F" w:rsidRDefault="0070403F" w:rsidP="0070403F">
      <w:pPr>
        <w:spacing w:line="480" w:lineRule="auto"/>
        <w:ind w:left="720" w:hanging="720"/>
        <w:jc w:val="both"/>
        <w:rPr>
          <w:b/>
          <w:bCs/>
        </w:rPr>
      </w:pPr>
      <w:r w:rsidRPr="0070403F">
        <w:rPr>
          <w:b/>
          <w:bCs/>
        </w:rPr>
        <w:lastRenderedPageBreak/>
        <w:t>Q.</w:t>
      </w:r>
      <w:r w:rsidRPr="0070403F">
        <w:rPr>
          <w:b/>
          <w:bCs/>
        </w:rPr>
        <w:tab/>
        <w:t>Please explain what you mean by a lack of transparency in the derivation of the Support Capacity adjustment values in Georgia Power’s Exhibit 2.</w:t>
      </w:r>
    </w:p>
    <w:p w14:paraId="350E89EE" w14:textId="77777777" w:rsidR="0070403F" w:rsidRPr="0070403F" w:rsidRDefault="00D73503" w:rsidP="00945B2D">
      <w:pPr>
        <w:spacing w:line="480" w:lineRule="auto"/>
        <w:ind w:left="720" w:hanging="720"/>
        <w:jc w:val="both"/>
      </w:pPr>
      <w:r>
        <w:t>A.</w:t>
      </w:r>
      <w:r>
        <w:tab/>
      </w:r>
      <w:r w:rsidR="0070403F" w:rsidRPr="0070403F">
        <w:t xml:space="preserve">Georgia Power’s derivation of Support Capacity production costs in </w:t>
      </w:r>
      <w:r w:rsidR="00945B2D">
        <w:t xml:space="preserve">its </w:t>
      </w:r>
      <w:r w:rsidR="0070403F" w:rsidRPr="0070403F">
        <w:t xml:space="preserve">Exhibit 2 </w:t>
      </w:r>
      <w:r w:rsidR="0070403F">
        <w:t>is</w:t>
      </w:r>
      <w:r w:rsidR="0070403F" w:rsidRPr="0070403F">
        <w:t xml:space="preserve"> dependent on modeling outputs included on the “Model Outputs” worksheet. We examined these values and could not reasonably evaluate their accuracy based on the materials filed in this docket. Given the significance of these values to current and future QFs under Georgia Power’s proposed methodology, we believe a deeper evaluation of these values is appropriate. </w:t>
      </w:r>
    </w:p>
    <w:p w14:paraId="09CE3D17" w14:textId="77777777" w:rsidR="0070403F" w:rsidRPr="0070403F" w:rsidRDefault="0070403F" w:rsidP="00860BFB">
      <w:pPr>
        <w:spacing w:line="480" w:lineRule="auto"/>
        <w:ind w:left="720" w:hanging="720"/>
        <w:jc w:val="both"/>
        <w:rPr>
          <w:b/>
          <w:bCs/>
        </w:rPr>
      </w:pPr>
      <w:r w:rsidRPr="0070403F">
        <w:rPr>
          <w:b/>
          <w:bCs/>
        </w:rPr>
        <w:t>Q.</w:t>
      </w:r>
      <w:r w:rsidRPr="0070403F">
        <w:rPr>
          <w:b/>
          <w:bCs/>
        </w:rPr>
        <w:tab/>
        <w:t>What other concerns do you have about Georgia Power’s p</w:t>
      </w:r>
      <w:r w:rsidR="00DA698E">
        <w:rPr>
          <w:b/>
          <w:bCs/>
        </w:rPr>
        <w:t>roposed application of the RCB F</w:t>
      </w:r>
      <w:r w:rsidRPr="0070403F">
        <w:rPr>
          <w:b/>
          <w:bCs/>
        </w:rPr>
        <w:t xml:space="preserve">ramework to pricing to be paid to </w:t>
      </w:r>
      <w:r w:rsidR="00E35220">
        <w:rPr>
          <w:b/>
          <w:bCs/>
        </w:rPr>
        <w:t>QFs contracting under Docket</w:t>
      </w:r>
      <w:r w:rsidRPr="0070403F">
        <w:rPr>
          <w:b/>
          <w:bCs/>
        </w:rPr>
        <w:t xml:space="preserve"> 4822?</w:t>
      </w:r>
    </w:p>
    <w:p w14:paraId="480A55B9" w14:textId="77777777" w:rsidR="0070403F" w:rsidRPr="0070403F" w:rsidRDefault="0070403F">
      <w:pPr>
        <w:spacing w:line="480" w:lineRule="auto"/>
        <w:ind w:left="720" w:hanging="720"/>
        <w:jc w:val="both"/>
      </w:pPr>
      <w:r w:rsidRPr="0070403F">
        <w:t>A.</w:t>
      </w:r>
      <w:r w:rsidRPr="0070403F">
        <w:tab/>
        <w:t>The variability among recent avoided cost projections raises concerns for us about the consistency in the underlying methodology. While typically Georgia Power files its annual avoided cost projections once per year, the Company has recently published four versions of its avoided cost projections in relative short order. Georgia Power published the following avoided cost projections within a span of nine months, two 2019 and two 2020 vintages:</w:t>
      </w:r>
    </w:p>
    <w:p w14:paraId="4F878727" w14:textId="77777777" w:rsidR="0070403F" w:rsidRPr="0070403F" w:rsidRDefault="0070403F" w:rsidP="002366D1">
      <w:pPr>
        <w:numPr>
          <w:ilvl w:val="0"/>
          <w:numId w:val="75"/>
        </w:numPr>
        <w:spacing w:after="60" w:line="360" w:lineRule="auto"/>
        <w:jc w:val="both"/>
      </w:pPr>
      <w:r w:rsidRPr="0070403F">
        <w:t>2019 Avoided Cost Projections, filed Dec. 19, 2019</w:t>
      </w:r>
      <w:r w:rsidRPr="0070403F">
        <w:rPr>
          <w:vertAlign w:val="superscript"/>
        </w:rPr>
        <w:footnoteReference w:id="7"/>
      </w:r>
    </w:p>
    <w:p w14:paraId="1D58C10E" w14:textId="77777777" w:rsidR="0070403F" w:rsidRPr="0070403F" w:rsidRDefault="0070403F" w:rsidP="002366D1">
      <w:pPr>
        <w:numPr>
          <w:ilvl w:val="0"/>
          <w:numId w:val="75"/>
        </w:numPr>
        <w:spacing w:after="60" w:line="360" w:lineRule="auto"/>
        <w:jc w:val="both"/>
      </w:pPr>
      <w:r w:rsidRPr="0070403F">
        <w:t>2019 Avoided Cost Projects – Errata, filed May 13, 2020</w:t>
      </w:r>
      <w:r w:rsidRPr="0070403F">
        <w:rPr>
          <w:vertAlign w:val="superscript"/>
        </w:rPr>
        <w:footnoteReference w:id="8"/>
      </w:r>
    </w:p>
    <w:p w14:paraId="70F3006A" w14:textId="77777777" w:rsidR="0070403F" w:rsidRPr="0070403F" w:rsidRDefault="0070403F" w:rsidP="002366D1">
      <w:pPr>
        <w:numPr>
          <w:ilvl w:val="0"/>
          <w:numId w:val="75"/>
        </w:numPr>
        <w:spacing w:after="60" w:line="360" w:lineRule="auto"/>
        <w:jc w:val="both"/>
      </w:pPr>
      <w:r w:rsidRPr="0070403F">
        <w:t>2020 Avoided Cost Projections, filed June 16, 2020</w:t>
      </w:r>
      <w:r w:rsidRPr="0070403F">
        <w:rPr>
          <w:vertAlign w:val="superscript"/>
        </w:rPr>
        <w:footnoteReference w:id="9"/>
      </w:r>
    </w:p>
    <w:p w14:paraId="3563C38A" w14:textId="77777777" w:rsidR="0070403F" w:rsidRPr="0070403F" w:rsidRDefault="0070403F" w:rsidP="002366D1">
      <w:pPr>
        <w:numPr>
          <w:ilvl w:val="0"/>
          <w:numId w:val="75"/>
        </w:numPr>
        <w:spacing w:after="120" w:line="360" w:lineRule="auto"/>
        <w:contextualSpacing/>
        <w:jc w:val="both"/>
      </w:pPr>
      <w:r w:rsidRPr="0070403F">
        <w:t>2020 Avoided Cost Projections, filed as Exhibit 1 in this docket on Sept. 18, 2020.</w:t>
      </w:r>
    </w:p>
    <w:p w14:paraId="4F5167AA" w14:textId="77777777" w:rsidR="0070403F" w:rsidRDefault="0070403F" w:rsidP="00EF05ED">
      <w:pPr>
        <w:spacing w:before="240" w:line="480" w:lineRule="auto"/>
        <w:ind w:left="720"/>
        <w:jc w:val="both"/>
      </w:pPr>
      <w:r w:rsidRPr="00945B2D">
        <w:lastRenderedPageBreak/>
        <w:t xml:space="preserve">Figure </w:t>
      </w:r>
      <w:r w:rsidR="00860BFB" w:rsidRPr="00945B2D">
        <w:t>2</w:t>
      </w:r>
      <w:r w:rsidRPr="0070403F">
        <w:t xml:space="preserve"> below compares the solar avoided cost from each of the above</w:t>
      </w:r>
      <w:r w:rsidR="00C71C00">
        <w:t>-</w:t>
      </w:r>
      <w:r w:rsidRPr="0070403F">
        <w:t>me</w:t>
      </w:r>
      <w:r w:rsidR="00DA698E">
        <w:t xml:space="preserve">ntioned projections, using the </w:t>
      </w:r>
      <w:r w:rsidRPr="0070403F">
        <w:t>BTM</w:t>
      </w:r>
      <w:r w:rsidR="00DA698E">
        <w:t xml:space="preserve"> DG</w:t>
      </w:r>
      <w:r w:rsidRPr="0070403F">
        <w:t xml:space="preserve"> solar avoided cost projections from Exhibit 1.</w:t>
      </w:r>
      <w:r w:rsidRPr="0070403F">
        <w:rPr>
          <w:vertAlign w:val="superscript"/>
        </w:rPr>
        <w:footnoteReference w:id="10"/>
      </w:r>
      <w:r w:rsidRPr="0070403F">
        <w:t xml:space="preserve"> We will focus on 2021 to highlight our point. In May 2020, a BTM DG QF could have anticipated earning a profile-weighted average price of $32.38 per megawatt-hour (MWh) in the coming year. One month later, that QF’s prospective 2021 price dropped 16%. Two months after that, the price dropped another 9%, to $24.39/MWh, for a total decrease of 25% in the span of four months. That degree of variability in the value of a megawatt-hour of solar electricity undermines QF confidence in what they can earn and limits a standard-offer QF’s prospects for financing their new solar project. </w:t>
      </w:r>
    </w:p>
    <w:p w14:paraId="0102B922" w14:textId="77777777" w:rsidR="00C71C00" w:rsidRPr="0070403F" w:rsidRDefault="0070403F" w:rsidP="002366D1">
      <w:pPr>
        <w:suppressLineNumbers/>
        <w:spacing w:line="276" w:lineRule="auto"/>
        <w:ind w:left="-450"/>
        <w:jc w:val="right"/>
      </w:pPr>
      <w:r w:rsidRPr="0070403F">
        <w:rPr>
          <w:noProof/>
          <w:lang w:eastAsia="en-US"/>
        </w:rPr>
        <w:drawing>
          <wp:inline distT="0" distB="0" distL="0" distR="0" wp14:anchorId="19C21659" wp14:editId="14E9D9AA">
            <wp:extent cx="5943600" cy="4315968"/>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315968"/>
                    </a:xfrm>
                    <a:prstGeom prst="rect">
                      <a:avLst/>
                    </a:prstGeom>
                    <a:noFill/>
                  </pic:spPr>
                </pic:pic>
              </a:graphicData>
            </a:graphic>
          </wp:inline>
        </w:drawing>
      </w:r>
    </w:p>
    <w:p w14:paraId="6084EEB1" w14:textId="77777777" w:rsidR="0070403F" w:rsidRPr="00860BFB" w:rsidRDefault="0070403F" w:rsidP="002366D1">
      <w:pPr>
        <w:suppressLineNumbers/>
        <w:spacing w:line="276" w:lineRule="auto"/>
        <w:jc w:val="center"/>
        <w:rPr>
          <w:rFonts w:eastAsia="Calibri"/>
          <w:i/>
          <w:lang w:eastAsia="en-US"/>
        </w:rPr>
      </w:pPr>
      <w:r w:rsidRPr="00860BFB">
        <w:rPr>
          <w:rFonts w:eastAsia="Calibri"/>
          <w:i/>
          <w:lang w:eastAsia="en-US"/>
        </w:rPr>
        <w:t xml:space="preserve">Figure </w:t>
      </w:r>
      <w:r w:rsidR="00860BFB" w:rsidRPr="00860BFB">
        <w:rPr>
          <w:rFonts w:eastAsia="Calibri"/>
          <w:i/>
          <w:lang w:eastAsia="en-US"/>
        </w:rPr>
        <w:t>2</w:t>
      </w:r>
      <w:r w:rsidRPr="00860BFB">
        <w:rPr>
          <w:rFonts w:eastAsia="Calibri"/>
          <w:i/>
          <w:lang w:eastAsia="en-US"/>
        </w:rPr>
        <w:t>. Georgia Power 2019 and 2020 Solar Avoided Cost Projections</w:t>
      </w:r>
    </w:p>
    <w:p w14:paraId="66C5F5FC" w14:textId="77777777" w:rsidR="00F45A83" w:rsidRDefault="00F45A83" w:rsidP="00945B2D">
      <w:pPr>
        <w:pStyle w:val="BodyText"/>
        <w:spacing w:after="0" w:line="480" w:lineRule="auto"/>
        <w:ind w:left="720" w:hanging="720"/>
        <w:jc w:val="both"/>
        <w:rPr>
          <w:rFonts w:eastAsia="Times New Roman"/>
          <w:b/>
          <w:bCs/>
          <w:color w:val="000000"/>
          <w:lang w:eastAsia="en-US"/>
        </w:rPr>
      </w:pPr>
      <w:r w:rsidRPr="00F45A83">
        <w:rPr>
          <w:b/>
        </w:rPr>
        <w:lastRenderedPageBreak/>
        <w:t>Q.</w:t>
      </w:r>
      <w:r w:rsidRPr="00F45A83">
        <w:rPr>
          <w:b/>
        </w:rPr>
        <w:tab/>
      </w:r>
      <w:r w:rsidR="00FB2150">
        <w:rPr>
          <w:b/>
        </w:rPr>
        <w:t xml:space="preserve">Do you have concerns about </w:t>
      </w:r>
      <w:r w:rsidRPr="000C7F06">
        <w:rPr>
          <w:rFonts w:eastAsia="Times New Roman"/>
          <w:b/>
          <w:bCs/>
          <w:color w:val="000000"/>
          <w:lang w:eastAsia="en-US"/>
        </w:rPr>
        <w:t>the Company’s proposal to</w:t>
      </w:r>
      <w:r w:rsidR="002B498E">
        <w:rPr>
          <w:rFonts w:eastAsia="Times New Roman"/>
          <w:b/>
          <w:bCs/>
          <w:color w:val="000000"/>
          <w:lang w:eastAsia="en-US"/>
        </w:rPr>
        <w:t xml:space="preserve"> apply the RCB F</w:t>
      </w:r>
      <w:r w:rsidR="00FB2150">
        <w:rPr>
          <w:rFonts w:eastAsia="Times New Roman"/>
          <w:b/>
          <w:bCs/>
          <w:color w:val="000000"/>
          <w:lang w:eastAsia="en-US"/>
        </w:rPr>
        <w:t xml:space="preserve">ramework in a piecemeal fashion, rather than applying it </w:t>
      </w:r>
      <w:r w:rsidR="00C71C00" w:rsidRPr="00945B2D">
        <w:rPr>
          <w:rFonts w:eastAsia="Times New Roman"/>
          <w:b/>
          <w:bCs/>
          <w:color w:val="000000"/>
          <w:lang w:eastAsia="en-US"/>
        </w:rPr>
        <w:t>in its entirety</w:t>
      </w:r>
      <w:r w:rsidR="00FB2150">
        <w:rPr>
          <w:rFonts w:eastAsia="Times New Roman"/>
          <w:b/>
          <w:bCs/>
          <w:color w:val="000000"/>
          <w:lang w:eastAsia="en-US"/>
        </w:rPr>
        <w:t xml:space="preserve">? </w:t>
      </w:r>
    </w:p>
    <w:p w14:paraId="537AA940" w14:textId="77777777" w:rsidR="004A6C57" w:rsidRDefault="00FB2150" w:rsidP="00945B2D">
      <w:pPr>
        <w:pStyle w:val="BodyText"/>
        <w:spacing w:after="0" w:line="480" w:lineRule="auto"/>
        <w:ind w:left="720" w:hanging="720"/>
        <w:jc w:val="both"/>
        <w:rPr>
          <w:rFonts w:eastAsia="Times New Roman"/>
          <w:color w:val="000000"/>
          <w:lang w:eastAsia="en-US"/>
        </w:rPr>
      </w:pPr>
      <w:r>
        <w:t>A.</w:t>
      </w:r>
      <w:r>
        <w:tab/>
        <w:t>Yes.</w:t>
      </w:r>
      <w:r w:rsidR="004A6C57">
        <w:t xml:space="preserve"> </w:t>
      </w:r>
      <w:r w:rsidR="004A6C57" w:rsidRPr="000C7F06">
        <w:rPr>
          <w:rFonts w:eastAsia="Times New Roman"/>
          <w:color w:val="000000"/>
          <w:lang w:eastAsia="en-US"/>
        </w:rPr>
        <w:t xml:space="preserve">The Company’s RCB Framework was adopted as a “comprehensive” methodology. At this time, without opening up an opportunity to debate the various components, </w:t>
      </w:r>
      <w:r w:rsidR="00C60F4D">
        <w:rPr>
          <w:rFonts w:eastAsia="Times New Roman"/>
          <w:color w:val="000000"/>
          <w:lang w:eastAsia="en-US"/>
        </w:rPr>
        <w:t xml:space="preserve">GPC seeks to </w:t>
      </w:r>
      <w:r w:rsidR="004A6C57" w:rsidRPr="000C7F06">
        <w:rPr>
          <w:rFonts w:eastAsia="Times New Roman"/>
          <w:color w:val="000000"/>
          <w:lang w:eastAsia="en-US"/>
        </w:rPr>
        <w:t>pick and choos</w:t>
      </w:r>
      <w:r w:rsidR="00C60F4D">
        <w:rPr>
          <w:rFonts w:eastAsia="Times New Roman"/>
          <w:color w:val="000000"/>
          <w:lang w:eastAsia="en-US"/>
        </w:rPr>
        <w:t>e</w:t>
      </w:r>
      <w:r w:rsidR="004A6C57" w:rsidRPr="000C7F06">
        <w:rPr>
          <w:rFonts w:eastAsia="Times New Roman"/>
          <w:color w:val="000000"/>
          <w:lang w:eastAsia="en-US"/>
        </w:rPr>
        <w:t xml:space="preserve"> which components to</w:t>
      </w:r>
      <w:r w:rsidR="000411BC">
        <w:rPr>
          <w:rFonts w:eastAsia="Times New Roman"/>
          <w:color w:val="000000"/>
          <w:lang w:eastAsia="en-US"/>
        </w:rPr>
        <w:t xml:space="preserve"> </w:t>
      </w:r>
      <w:r w:rsidR="00DA3CA9">
        <w:rPr>
          <w:rFonts w:eastAsia="Times New Roman"/>
          <w:color w:val="000000"/>
          <w:lang w:eastAsia="en-US"/>
        </w:rPr>
        <w:t xml:space="preserve">apply in </w:t>
      </w:r>
      <w:r w:rsidR="00DA3CA9" w:rsidRPr="000C7F06">
        <w:rPr>
          <w:rFonts w:eastAsia="Times New Roman"/>
          <w:color w:val="000000"/>
          <w:lang w:eastAsia="en-US"/>
        </w:rPr>
        <w:t>determin</w:t>
      </w:r>
      <w:r w:rsidR="00DA3CA9">
        <w:rPr>
          <w:rFonts w:eastAsia="Times New Roman"/>
          <w:color w:val="000000"/>
          <w:lang w:eastAsia="en-US"/>
        </w:rPr>
        <w:t>ing</w:t>
      </w:r>
      <w:r w:rsidR="00DA3CA9" w:rsidRPr="000C7F06">
        <w:rPr>
          <w:rFonts w:eastAsia="Times New Roman"/>
          <w:color w:val="000000"/>
          <w:lang w:eastAsia="en-US"/>
        </w:rPr>
        <w:t xml:space="preserve"> </w:t>
      </w:r>
      <w:r w:rsidR="004A6C57" w:rsidRPr="000C7F06">
        <w:rPr>
          <w:rFonts w:eastAsia="Times New Roman"/>
          <w:color w:val="000000"/>
          <w:lang w:eastAsia="en-US"/>
        </w:rPr>
        <w:t>avoided costs</w:t>
      </w:r>
      <w:r w:rsidR="00C60F4D">
        <w:rPr>
          <w:rFonts w:eastAsia="Times New Roman"/>
          <w:color w:val="000000"/>
          <w:lang w:eastAsia="en-US"/>
        </w:rPr>
        <w:t xml:space="preserve">. This does </w:t>
      </w:r>
      <w:r w:rsidR="004A6C57" w:rsidRPr="000C7F06">
        <w:rPr>
          <w:rFonts w:eastAsia="Times New Roman"/>
          <w:color w:val="000000"/>
          <w:lang w:eastAsia="en-US"/>
        </w:rPr>
        <w:t>not make sense</w:t>
      </w:r>
      <w:r w:rsidR="00945B2D">
        <w:rPr>
          <w:rFonts w:eastAsia="Times New Roman"/>
          <w:color w:val="000000"/>
          <w:lang w:eastAsia="en-US"/>
        </w:rPr>
        <w:t xml:space="preserve"> and is inconsistent with how the Company has applied the RCB Framework </w:t>
      </w:r>
      <w:r w:rsidR="00FF5AC6">
        <w:rPr>
          <w:rFonts w:eastAsia="Times New Roman"/>
          <w:color w:val="000000"/>
          <w:lang w:eastAsia="en-US"/>
        </w:rPr>
        <w:t>to determine avoided cost compensation for DG solar under programs approved in the last two IRPs</w:t>
      </w:r>
      <w:r w:rsidR="004A6C57" w:rsidRPr="000C7F06">
        <w:rPr>
          <w:rFonts w:eastAsia="Times New Roman"/>
          <w:color w:val="000000"/>
          <w:lang w:eastAsia="en-US"/>
        </w:rPr>
        <w:t xml:space="preserve">. </w:t>
      </w:r>
      <w:r w:rsidR="00C71C00">
        <w:rPr>
          <w:rFonts w:eastAsia="Times New Roman"/>
          <w:color w:val="000000"/>
          <w:lang w:eastAsia="en-US"/>
        </w:rPr>
        <w:t>Additionally</w:t>
      </w:r>
      <w:r w:rsidR="004A6C57" w:rsidRPr="000C7F06">
        <w:rPr>
          <w:rFonts w:eastAsia="Times New Roman"/>
          <w:color w:val="000000"/>
          <w:lang w:eastAsia="en-US"/>
        </w:rPr>
        <w:t xml:space="preserve">, under the Company’s proposal, small QFs participating in the RNR tariff would never, under any circumstances, be eligible to receive credit for capacity. </w:t>
      </w:r>
      <w:r w:rsidR="00FF5AC6" w:rsidRPr="000C7F06">
        <w:rPr>
          <w:rFonts w:eastAsia="Times New Roman"/>
          <w:color w:val="000000"/>
          <w:lang w:eastAsia="en-US"/>
        </w:rPr>
        <w:t>Th</w:t>
      </w:r>
      <w:r w:rsidR="00FF5AC6">
        <w:rPr>
          <w:rFonts w:eastAsia="Times New Roman"/>
          <w:color w:val="000000"/>
          <w:lang w:eastAsia="en-US"/>
        </w:rPr>
        <w:t>ese</w:t>
      </w:r>
      <w:r w:rsidR="00FF5AC6" w:rsidRPr="000C7F06">
        <w:rPr>
          <w:rFonts w:eastAsia="Times New Roman"/>
          <w:color w:val="000000"/>
          <w:lang w:eastAsia="en-US"/>
        </w:rPr>
        <w:t xml:space="preserve"> </w:t>
      </w:r>
      <w:r w:rsidR="004A6C57" w:rsidRPr="000C7F06">
        <w:rPr>
          <w:rFonts w:eastAsia="Times New Roman"/>
          <w:color w:val="000000"/>
          <w:lang w:eastAsia="en-US"/>
        </w:rPr>
        <w:t>result</w:t>
      </w:r>
      <w:r w:rsidR="00FF5AC6">
        <w:rPr>
          <w:rFonts w:eastAsia="Times New Roman"/>
          <w:color w:val="000000"/>
          <w:lang w:eastAsia="en-US"/>
        </w:rPr>
        <w:t>s</w:t>
      </w:r>
      <w:r w:rsidR="004A6C57" w:rsidRPr="000C7F06">
        <w:rPr>
          <w:rFonts w:eastAsia="Times New Roman"/>
          <w:color w:val="000000"/>
          <w:lang w:eastAsia="en-US"/>
        </w:rPr>
        <w:t xml:space="preserve"> </w:t>
      </w:r>
      <w:r w:rsidR="002B498E">
        <w:rPr>
          <w:rFonts w:eastAsia="Times New Roman"/>
          <w:color w:val="000000"/>
          <w:lang w:eastAsia="en-US"/>
        </w:rPr>
        <w:t>run</w:t>
      </w:r>
      <w:r w:rsidR="00C71C00">
        <w:rPr>
          <w:rFonts w:eastAsia="Times New Roman"/>
          <w:color w:val="000000"/>
          <w:lang w:eastAsia="en-US"/>
        </w:rPr>
        <w:t xml:space="preserve"> counter</w:t>
      </w:r>
      <w:r w:rsidR="004A6C57" w:rsidRPr="000C7F06">
        <w:rPr>
          <w:rFonts w:eastAsia="Times New Roman"/>
          <w:color w:val="000000"/>
          <w:lang w:eastAsia="en-US"/>
        </w:rPr>
        <w:t xml:space="preserve"> </w:t>
      </w:r>
      <w:r w:rsidR="004A6C57">
        <w:rPr>
          <w:rFonts w:eastAsia="Times New Roman"/>
          <w:color w:val="000000"/>
          <w:lang w:eastAsia="en-US"/>
        </w:rPr>
        <w:t xml:space="preserve">to </w:t>
      </w:r>
      <w:r w:rsidR="004A6C57" w:rsidRPr="000C7F06">
        <w:rPr>
          <w:rFonts w:eastAsia="Times New Roman"/>
          <w:color w:val="000000"/>
          <w:lang w:eastAsia="en-US"/>
        </w:rPr>
        <w:t>PURPA</w:t>
      </w:r>
      <w:r w:rsidR="004A6C57">
        <w:rPr>
          <w:rFonts w:eastAsia="Times New Roman"/>
          <w:color w:val="000000"/>
          <w:lang w:eastAsia="en-US"/>
        </w:rPr>
        <w:t xml:space="preserve">. </w:t>
      </w:r>
    </w:p>
    <w:p w14:paraId="23BBDAE3" w14:textId="77777777" w:rsidR="004A6C57" w:rsidRDefault="004A6C57">
      <w:pPr>
        <w:pStyle w:val="BodyText"/>
        <w:spacing w:after="0" w:line="480" w:lineRule="auto"/>
        <w:ind w:left="720" w:hanging="720"/>
        <w:jc w:val="both"/>
        <w:rPr>
          <w:b/>
        </w:rPr>
      </w:pPr>
      <w:r w:rsidRPr="00FF5AC6">
        <w:rPr>
          <w:b/>
        </w:rPr>
        <w:t>Q.</w:t>
      </w:r>
      <w:r>
        <w:tab/>
      </w:r>
      <w:r w:rsidRPr="004A6C57">
        <w:rPr>
          <w:b/>
        </w:rPr>
        <w:t>What is the effect on QF rates of the Company’s decision to exclude the capacity-related elements of the Framework?</w:t>
      </w:r>
    </w:p>
    <w:p w14:paraId="78C8F9BF" w14:textId="77777777" w:rsidR="00E57F18" w:rsidRDefault="004A6C57" w:rsidP="00860BFB">
      <w:pPr>
        <w:pStyle w:val="BodyText"/>
        <w:spacing w:after="0" w:line="480" w:lineRule="auto"/>
        <w:ind w:left="720" w:hanging="720"/>
        <w:jc w:val="both"/>
      </w:pPr>
      <w:r>
        <w:t>A.</w:t>
      </w:r>
      <w:r>
        <w:tab/>
        <w:t xml:space="preserve">The Company’s Exhibit 1 illustrates the impact of its proposed changes to the annual avoided cost projections in Dockets 4822 and 16573. Compared to earlier avoided cost projections, the effect is a meaningful reduction in compensation </w:t>
      </w:r>
      <w:r w:rsidR="00DA3CA9">
        <w:t>through 2025</w:t>
      </w:r>
      <w:r w:rsidR="0072319C">
        <w:t xml:space="preserve">, </w:t>
      </w:r>
      <w:r w:rsidR="0072319C" w:rsidRPr="00FF5AC6">
        <w:t>up to an average loss of 9%, based on the Georgia Power forecast issued in the past year</w:t>
      </w:r>
      <w:r>
        <w:t xml:space="preserve">. </w:t>
      </w:r>
    </w:p>
    <w:p w14:paraId="512218EF" w14:textId="77777777" w:rsidR="004A6C57" w:rsidRDefault="00E57F18" w:rsidP="00860BFB">
      <w:pPr>
        <w:pStyle w:val="BodyText"/>
        <w:spacing w:after="0" w:line="480" w:lineRule="auto"/>
        <w:ind w:left="720"/>
        <w:jc w:val="both"/>
      </w:pPr>
      <w:r w:rsidRPr="00E57F18">
        <w:t xml:space="preserve">It’s unclear how this </w:t>
      </w:r>
      <w:r w:rsidR="0072319C">
        <w:t>proposal could produce</w:t>
      </w:r>
      <w:r w:rsidR="0072319C" w:rsidRPr="00E57F18">
        <w:t xml:space="preserve"> </w:t>
      </w:r>
      <w:r w:rsidRPr="00E57F18">
        <w:t xml:space="preserve">the best outcome for customers, as it would inject deadweight loss into the market by intentionally removing compensation to QFs for capacity and other system costs that will otherwise be incurred at higher cost and charged back to customers. This </w:t>
      </w:r>
      <w:r w:rsidR="00DA3CA9">
        <w:t>is</w:t>
      </w:r>
      <w:r w:rsidRPr="00E57F18">
        <w:t xml:space="preserve"> a step in the wrong direction as far as market design and customers are concerned. The Company’s filings in the 2019 IRP and in this docket show there are real and quantifiable capacity benefits from many kinds of solar generators; removing them would </w:t>
      </w:r>
      <w:r w:rsidR="0072319C">
        <w:t>promote</w:t>
      </w:r>
      <w:r w:rsidRPr="00E57F18">
        <w:t xml:space="preserve"> manipulation of the market at a cost to customers. </w:t>
      </w:r>
      <w:r w:rsidR="00B2576C">
        <w:t xml:space="preserve">It would </w:t>
      </w:r>
      <w:r w:rsidR="00B2576C">
        <w:lastRenderedPageBreak/>
        <w:t>also undermine</w:t>
      </w:r>
      <w:r w:rsidRPr="00E57F18">
        <w:t xml:space="preserve"> </w:t>
      </w:r>
      <w:r w:rsidR="00B2576C">
        <w:t xml:space="preserve">the </w:t>
      </w:r>
      <w:r w:rsidRPr="00E57F18">
        <w:t xml:space="preserve">five years of efforts </w:t>
      </w:r>
      <w:r w:rsidR="00B2576C">
        <w:t xml:space="preserve">by the Commission and </w:t>
      </w:r>
      <w:r w:rsidR="00B2576C" w:rsidRPr="00B2576C">
        <w:t>many stakeholders and experts</w:t>
      </w:r>
      <w:r w:rsidR="00B2576C">
        <w:t xml:space="preserve"> </w:t>
      </w:r>
      <w:r w:rsidRPr="00E57F18">
        <w:t xml:space="preserve">to develop </w:t>
      </w:r>
      <w:r w:rsidR="00B2576C">
        <w:t>a robust and comprehensive framework for valuing solar resources. Having devoted the time and effort toward identifying the capacity benefits of solar resources, the Commission should be reluctant to dispense with</w:t>
      </w:r>
      <w:r w:rsidR="00B2576C" w:rsidRPr="00E57F18">
        <w:t xml:space="preserve"> </w:t>
      </w:r>
      <w:r w:rsidRPr="00E57F18">
        <w:t xml:space="preserve">components identified </w:t>
      </w:r>
      <w:r w:rsidR="00B2576C">
        <w:t xml:space="preserve">by stakeholders, including the Company itself, </w:t>
      </w:r>
      <w:r w:rsidRPr="00E57F18">
        <w:t xml:space="preserve">as </w:t>
      </w:r>
      <w:r w:rsidR="00C60F4D">
        <w:t xml:space="preserve">central </w:t>
      </w:r>
      <w:r w:rsidR="00B2576C">
        <w:t xml:space="preserve">to the </w:t>
      </w:r>
      <w:r w:rsidRPr="00E57F18">
        <w:t>value</w:t>
      </w:r>
      <w:r w:rsidR="00B2576C">
        <w:t>s</w:t>
      </w:r>
      <w:r w:rsidRPr="00E57F18">
        <w:t xml:space="preserve"> </w:t>
      </w:r>
      <w:r w:rsidR="00B2576C">
        <w:t xml:space="preserve">that </w:t>
      </w:r>
      <w:r w:rsidRPr="00E57F18">
        <w:t xml:space="preserve">renewables </w:t>
      </w:r>
      <w:r w:rsidR="00B2576C">
        <w:t xml:space="preserve">bring </w:t>
      </w:r>
      <w:r w:rsidRPr="00E57F18">
        <w:t>to the grid</w:t>
      </w:r>
      <w:r>
        <w:t xml:space="preserve">. </w:t>
      </w:r>
    </w:p>
    <w:p w14:paraId="24236F1A" w14:textId="77777777" w:rsidR="00E57F18" w:rsidRDefault="00E57F18" w:rsidP="00860BFB">
      <w:pPr>
        <w:pStyle w:val="BodyText"/>
        <w:spacing w:after="0" w:line="480" w:lineRule="auto"/>
        <w:ind w:left="720" w:hanging="720"/>
        <w:jc w:val="both"/>
        <w:rPr>
          <w:b/>
        </w:rPr>
      </w:pPr>
      <w:r w:rsidRPr="00E57F18">
        <w:rPr>
          <w:b/>
        </w:rPr>
        <w:t>Q.</w:t>
      </w:r>
      <w:r w:rsidRPr="00E57F18">
        <w:rPr>
          <w:b/>
        </w:rPr>
        <w:tab/>
      </w:r>
      <w:r w:rsidR="00FB2150">
        <w:rPr>
          <w:b/>
        </w:rPr>
        <w:t xml:space="preserve">Would you support applying the RCB Framework </w:t>
      </w:r>
      <w:r w:rsidRPr="00E57F18">
        <w:rPr>
          <w:b/>
        </w:rPr>
        <w:t>to the determination of the rates to be paid to QFs</w:t>
      </w:r>
      <w:r w:rsidR="00FB2150">
        <w:rPr>
          <w:b/>
        </w:rPr>
        <w:t xml:space="preserve"> if the framework is applied comprehensively</w:t>
      </w:r>
      <w:r w:rsidRPr="00E57F18">
        <w:rPr>
          <w:b/>
        </w:rPr>
        <w:t>?</w:t>
      </w:r>
    </w:p>
    <w:p w14:paraId="7E6A0FF5" w14:textId="77777777" w:rsidR="001C02AA" w:rsidRDefault="00FB2150" w:rsidP="00860BFB">
      <w:pPr>
        <w:pStyle w:val="BodyText"/>
        <w:spacing w:after="0" w:line="480" w:lineRule="auto"/>
        <w:ind w:left="720" w:hanging="720"/>
        <w:jc w:val="both"/>
      </w:pPr>
      <w:r>
        <w:t>A.</w:t>
      </w:r>
      <w:r>
        <w:tab/>
        <w:t xml:space="preserve">Similar to concerns we raised about the lack of transparency </w:t>
      </w:r>
      <w:r w:rsidR="00FF5AC6">
        <w:t xml:space="preserve">into </w:t>
      </w:r>
      <w:r>
        <w:t xml:space="preserve">how the Company arrives at its support capacity cost estimates, we lack sufficient information to develop an opinion at this time. </w:t>
      </w:r>
      <w:r w:rsidR="0072319C">
        <w:t>W</w:t>
      </w:r>
      <w:r>
        <w:t xml:space="preserve">e would generally favor </w:t>
      </w:r>
      <w:r w:rsidR="00B2576C">
        <w:t xml:space="preserve">full, rather than partial, application </w:t>
      </w:r>
      <w:r>
        <w:t>of the framework; however, e</w:t>
      </w:r>
      <w:r w:rsidR="003E677A">
        <w:t>ven a full application would be suspect if it fails to produce transparent, reliable and verifi</w:t>
      </w:r>
      <w:r w:rsidR="00265A54">
        <w:t>able results</w:t>
      </w:r>
      <w:r w:rsidR="00F93102">
        <w:t>.</w:t>
      </w:r>
    </w:p>
    <w:p w14:paraId="45F33033" w14:textId="77777777" w:rsidR="00E57F18" w:rsidRDefault="00E57F18" w:rsidP="00860BFB">
      <w:pPr>
        <w:pStyle w:val="BodyText"/>
        <w:spacing w:after="0" w:line="480" w:lineRule="auto"/>
        <w:ind w:left="720" w:hanging="720"/>
        <w:jc w:val="both"/>
      </w:pPr>
      <w:r w:rsidRPr="00E57F18">
        <w:rPr>
          <w:b/>
        </w:rPr>
        <w:t>Q.</w:t>
      </w:r>
      <w:r>
        <w:tab/>
      </w:r>
      <w:r w:rsidR="00B2576C">
        <w:rPr>
          <w:b/>
        </w:rPr>
        <w:t>Finally, t</w:t>
      </w:r>
      <w:r w:rsidRPr="00E57F18">
        <w:rPr>
          <w:b/>
        </w:rPr>
        <w:t>he Company argues that while the application of the RCB Framework is relevant to this proceeding, any evaluation of its components is not. Do you agree?</w:t>
      </w:r>
      <w:r>
        <w:t xml:space="preserve"> </w:t>
      </w:r>
    </w:p>
    <w:p w14:paraId="7ACFE6F5" w14:textId="58E9B35C" w:rsidR="002366D1" w:rsidRDefault="00E57F18" w:rsidP="002366D1">
      <w:pPr>
        <w:pStyle w:val="BodyText"/>
        <w:spacing w:after="0" w:line="480" w:lineRule="auto"/>
        <w:ind w:left="720" w:hanging="720"/>
        <w:jc w:val="both"/>
      </w:pPr>
      <w:r>
        <w:t>A.</w:t>
      </w:r>
      <w:r>
        <w:tab/>
        <w:t xml:space="preserve">No. </w:t>
      </w:r>
      <w:r w:rsidR="00C54D7C">
        <w:t xml:space="preserve">The Company’s proposal to begin applying elements of the Framework to QF compensation under the standard offer contracts represents a significant change in how those QFs are treated. It is important to ensure that its </w:t>
      </w:r>
      <w:r w:rsidR="00C60F4D">
        <w:t xml:space="preserve">individual </w:t>
      </w:r>
      <w:r w:rsidR="00C54D7C">
        <w:t xml:space="preserve">components fairly and accurately value QF generation. To that end, we support GLSSA witness Arne Olson’s recommended improvements to the Framework. We think it’s especially important that winter reliability concerns not be used to unfairly and unreasonably penalize solar. </w:t>
      </w:r>
      <w:bookmarkStart w:id="15" w:name="_Toc57906059"/>
      <w:bookmarkStart w:id="16" w:name="_Toc57906060"/>
      <w:bookmarkStart w:id="17" w:name="_Toc57906061"/>
      <w:bookmarkEnd w:id="15"/>
      <w:bookmarkEnd w:id="16"/>
      <w:bookmarkEnd w:id="17"/>
      <w:r w:rsidR="002366D1">
        <w:br w:type="page"/>
      </w:r>
    </w:p>
    <w:p w14:paraId="4478C89C" w14:textId="77777777" w:rsidR="00814C3D" w:rsidRPr="00E6242A" w:rsidRDefault="00814C3D" w:rsidP="00860BFB">
      <w:pPr>
        <w:pStyle w:val="OutlineL1"/>
        <w:numPr>
          <w:ilvl w:val="0"/>
          <w:numId w:val="72"/>
        </w:numPr>
        <w:spacing w:before="240" w:after="240" w:line="360" w:lineRule="auto"/>
      </w:pPr>
      <w:bookmarkStart w:id="18" w:name="_Toc57906646"/>
      <w:r w:rsidRPr="00E6242A">
        <w:lastRenderedPageBreak/>
        <w:t xml:space="preserve">GEORGIA POWER’S STANDARD OFFER </w:t>
      </w:r>
      <w:r w:rsidR="00860BFB">
        <w:br/>
      </w:r>
      <w:r w:rsidRPr="00E6242A">
        <w:t>PURPA PROGRAM</w:t>
      </w:r>
      <w:r w:rsidR="007F74AB" w:rsidRPr="00E6242A">
        <w:t xml:space="preserve"> IS INADEQUATE</w:t>
      </w:r>
      <w:bookmarkEnd w:id="18"/>
    </w:p>
    <w:p w14:paraId="68B4F0BF" w14:textId="77777777" w:rsidR="00C2292D" w:rsidRPr="00C2292D" w:rsidRDefault="00C2292D" w:rsidP="00860BFB">
      <w:pPr>
        <w:shd w:val="clear" w:color="auto" w:fill="FFFFFF"/>
        <w:spacing w:line="480" w:lineRule="auto"/>
        <w:ind w:left="720" w:hanging="720"/>
        <w:jc w:val="both"/>
        <w:rPr>
          <w:rFonts w:eastAsia="Times New Roman"/>
          <w:color w:val="000000"/>
          <w:lang w:eastAsia="en-US"/>
        </w:rPr>
      </w:pPr>
      <w:r w:rsidRPr="00C2292D">
        <w:rPr>
          <w:rFonts w:eastAsia="Times New Roman"/>
          <w:b/>
          <w:bCs/>
          <w:color w:val="000000"/>
          <w:lang w:eastAsia="en-US"/>
        </w:rPr>
        <w:t>Q.</w:t>
      </w:r>
      <w:r w:rsidRPr="00C2292D">
        <w:rPr>
          <w:rFonts w:eastAsia="Times New Roman"/>
          <w:b/>
          <w:bCs/>
          <w:color w:val="000000"/>
          <w:lang w:eastAsia="en-US"/>
        </w:rPr>
        <w:tab/>
        <w:t>Is the Georgia Power Standard Offer contract a meaningful source of Georgia’s overall solar capacity?</w:t>
      </w:r>
    </w:p>
    <w:p w14:paraId="0084B4B2" w14:textId="77777777" w:rsidR="00C2292D" w:rsidRDefault="00C2292D" w:rsidP="00FF5AC6">
      <w:pPr>
        <w:shd w:val="clear" w:color="auto" w:fill="FFFFFF"/>
        <w:spacing w:line="480" w:lineRule="auto"/>
        <w:ind w:left="720" w:hanging="720"/>
        <w:jc w:val="both"/>
        <w:rPr>
          <w:rFonts w:eastAsia="Times New Roman"/>
          <w:color w:val="000000"/>
          <w:lang w:eastAsia="en-US"/>
        </w:rPr>
      </w:pPr>
      <w:r w:rsidRPr="00C2292D">
        <w:rPr>
          <w:rFonts w:eastAsia="Times New Roman"/>
          <w:color w:val="000000"/>
          <w:lang w:eastAsia="en-US"/>
        </w:rPr>
        <w:t>A.</w:t>
      </w:r>
      <w:r w:rsidRPr="00C2292D">
        <w:rPr>
          <w:rFonts w:eastAsia="Times New Roman"/>
          <w:color w:val="000000"/>
          <w:lang w:eastAsia="en-US"/>
        </w:rPr>
        <w:tab/>
        <w:t xml:space="preserve">No. </w:t>
      </w:r>
      <w:r w:rsidR="00C73F31" w:rsidRPr="00C73F31">
        <w:rPr>
          <w:rFonts w:eastAsia="Times New Roman"/>
          <w:color w:val="000000"/>
          <w:lang w:eastAsia="en-US"/>
        </w:rPr>
        <w:t xml:space="preserve">Procurement through the standard offer contracts, which exist outside of the IRP programs, is essentially non-existent. </w:t>
      </w:r>
      <w:r w:rsidR="00C73F31">
        <w:rPr>
          <w:rFonts w:eastAsia="Times New Roman"/>
          <w:color w:val="000000"/>
          <w:lang w:eastAsia="en-US"/>
        </w:rPr>
        <w:t>Only eight solar</w:t>
      </w:r>
      <w:r w:rsidR="00C73F31" w:rsidRPr="00C73F31">
        <w:rPr>
          <w:rFonts w:eastAsia="Times New Roman"/>
          <w:color w:val="000000"/>
          <w:lang w:eastAsia="en-US"/>
        </w:rPr>
        <w:t xml:space="preserve"> projects have been brought to completion in over 25 years through t</w:t>
      </w:r>
      <w:r w:rsidR="002537BA">
        <w:rPr>
          <w:rFonts w:eastAsia="Times New Roman"/>
          <w:color w:val="000000"/>
          <w:lang w:eastAsia="en-US"/>
        </w:rPr>
        <w:t>he</w:t>
      </w:r>
      <w:r w:rsidR="00265A54">
        <w:rPr>
          <w:rFonts w:eastAsia="Times New Roman"/>
          <w:color w:val="000000"/>
          <w:lang w:eastAsia="en-US"/>
        </w:rPr>
        <w:t xml:space="preserve"> contract offer</w:t>
      </w:r>
      <w:r w:rsidR="002537BA">
        <w:rPr>
          <w:rFonts w:eastAsia="Times New Roman"/>
          <w:color w:val="000000"/>
          <w:lang w:eastAsia="en-US"/>
        </w:rPr>
        <w:t>ing</w:t>
      </w:r>
      <w:r w:rsidR="00265A54">
        <w:rPr>
          <w:rFonts w:eastAsia="Times New Roman"/>
          <w:color w:val="000000"/>
          <w:lang w:eastAsia="en-US"/>
        </w:rPr>
        <w:t>,</w:t>
      </w:r>
      <w:r w:rsidR="00C73F31" w:rsidRPr="00C73F31">
        <w:rPr>
          <w:rFonts w:eastAsia="Times New Roman"/>
          <w:color w:val="000000"/>
          <w:vertAlign w:val="superscript"/>
          <w:lang w:eastAsia="en-US"/>
        </w:rPr>
        <w:footnoteReference w:id="11"/>
      </w:r>
      <w:r w:rsidR="00C73F31">
        <w:rPr>
          <w:rFonts w:eastAsia="Times New Roman"/>
          <w:color w:val="000000"/>
          <w:lang w:eastAsia="en-US"/>
        </w:rPr>
        <w:t xml:space="preserve"> and these projects cumulatively total </w:t>
      </w:r>
      <w:r w:rsidR="00265A54">
        <w:rPr>
          <w:rFonts w:eastAsia="Times New Roman"/>
          <w:color w:val="000000"/>
          <w:lang w:eastAsia="en-US"/>
        </w:rPr>
        <w:t>only about</w:t>
      </w:r>
      <w:r w:rsidR="00C73F31">
        <w:rPr>
          <w:rFonts w:eastAsia="Times New Roman"/>
          <w:color w:val="000000"/>
          <w:lang w:eastAsia="en-US"/>
        </w:rPr>
        <w:t xml:space="preserve"> 6 MW. This result stands </w:t>
      </w:r>
      <w:r w:rsidR="005D6146">
        <w:rPr>
          <w:rFonts w:eastAsia="Times New Roman"/>
          <w:color w:val="000000"/>
          <w:lang w:eastAsia="en-US"/>
        </w:rPr>
        <w:t>in sharp contrast to the large amounts of solar capacity developed or slated for development under programs approved by the Commission in recent IRPs</w:t>
      </w:r>
      <w:r w:rsidR="003A1209">
        <w:rPr>
          <w:rFonts w:eastAsia="Times New Roman"/>
          <w:color w:val="000000"/>
          <w:lang w:eastAsia="en-US"/>
        </w:rPr>
        <w:t xml:space="preserve"> </w:t>
      </w:r>
      <w:r w:rsidR="00A66121">
        <w:rPr>
          <w:rFonts w:eastAsia="Times New Roman"/>
          <w:color w:val="000000"/>
          <w:lang w:eastAsia="en-US"/>
        </w:rPr>
        <w:t>−</w:t>
      </w:r>
      <w:r w:rsidR="003A1209">
        <w:rPr>
          <w:rFonts w:eastAsia="Times New Roman"/>
          <w:color w:val="000000"/>
          <w:lang w:eastAsia="en-US"/>
        </w:rPr>
        <w:t xml:space="preserve"> a trend this Commission started in </w:t>
      </w:r>
      <w:r w:rsidR="00265A54">
        <w:rPr>
          <w:rFonts w:eastAsia="Times New Roman"/>
          <w:color w:val="000000"/>
          <w:lang w:eastAsia="en-US"/>
        </w:rPr>
        <w:t>2011 with its Large Scale Solar</w:t>
      </w:r>
      <w:r w:rsidR="008A1148">
        <w:rPr>
          <w:rFonts w:eastAsia="Times New Roman"/>
          <w:color w:val="000000"/>
          <w:lang w:eastAsia="en-US"/>
        </w:rPr>
        <w:t xml:space="preserve"> Program</w:t>
      </w:r>
      <w:r w:rsidR="00265A54">
        <w:rPr>
          <w:rFonts w:eastAsia="Times New Roman"/>
          <w:color w:val="000000"/>
          <w:lang w:eastAsia="en-US"/>
        </w:rPr>
        <w:t xml:space="preserve"> </w:t>
      </w:r>
      <w:r w:rsidR="00CC7F45">
        <w:rPr>
          <w:rFonts w:eastAsia="Times New Roman"/>
          <w:color w:val="000000"/>
          <w:lang w:eastAsia="en-US"/>
        </w:rPr>
        <w:t>(LSS)</w:t>
      </w:r>
      <w:r w:rsidR="00265A54">
        <w:rPr>
          <w:rFonts w:eastAsia="Times New Roman"/>
          <w:color w:val="000000"/>
          <w:lang w:eastAsia="en-US"/>
        </w:rPr>
        <w:t xml:space="preserve">. </w:t>
      </w:r>
      <w:r w:rsidR="00C73F31">
        <w:rPr>
          <w:rFonts w:eastAsia="Times New Roman"/>
          <w:color w:val="000000"/>
          <w:lang w:eastAsia="en-US"/>
        </w:rPr>
        <w:t xml:space="preserve">Those programs have pushed </w:t>
      </w:r>
      <w:r w:rsidRPr="00C2292D">
        <w:rPr>
          <w:rFonts w:eastAsia="Times New Roman"/>
          <w:color w:val="000000"/>
          <w:lang w:eastAsia="en-US"/>
        </w:rPr>
        <w:t xml:space="preserve">Georgia </w:t>
      </w:r>
      <w:r w:rsidR="00C73F31">
        <w:rPr>
          <w:rFonts w:eastAsia="Times New Roman"/>
          <w:color w:val="000000"/>
          <w:lang w:eastAsia="en-US"/>
        </w:rPr>
        <w:t xml:space="preserve">into the top ten </w:t>
      </w:r>
      <w:r w:rsidR="00316DA9">
        <w:rPr>
          <w:rFonts w:eastAsia="Times New Roman"/>
          <w:color w:val="000000"/>
          <w:lang w:eastAsia="en-US"/>
        </w:rPr>
        <w:t xml:space="preserve">of states for installed solar capacity (Georgia </w:t>
      </w:r>
      <w:r w:rsidRPr="00C2292D">
        <w:rPr>
          <w:rFonts w:eastAsia="Times New Roman"/>
          <w:color w:val="000000"/>
          <w:lang w:eastAsia="en-US"/>
        </w:rPr>
        <w:t>is currently ranked 9</w:t>
      </w:r>
      <w:r w:rsidRPr="00C2292D">
        <w:rPr>
          <w:rFonts w:eastAsia="Times New Roman"/>
          <w:color w:val="000000"/>
          <w:vertAlign w:val="superscript"/>
          <w:lang w:eastAsia="en-US"/>
        </w:rPr>
        <w:t>th</w:t>
      </w:r>
      <w:r w:rsidRPr="00C2292D">
        <w:rPr>
          <w:rFonts w:eastAsia="Times New Roman"/>
          <w:color w:val="000000"/>
          <w:lang w:eastAsia="en-US"/>
        </w:rPr>
        <w:t xml:space="preserve"> in solar capacity</w:t>
      </w:r>
      <w:r w:rsidR="00316DA9">
        <w:rPr>
          <w:rFonts w:eastAsia="Times New Roman"/>
          <w:color w:val="000000"/>
          <w:lang w:eastAsia="en-US"/>
        </w:rPr>
        <w:t xml:space="preserve">, a drop from its No. </w:t>
      </w:r>
      <w:r w:rsidRPr="00C2292D">
        <w:rPr>
          <w:rFonts w:eastAsia="Times New Roman"/>
          <w:color w:val="000000"/>
          <w:lang w:eastAsia="en-US"/>
        </w:rPr>
        <w:t>5</w:t>
      </w:r>
      <w:r w:rsidR="00316DA9">
        <w:rPr>
          <w:rFonts w:eastAsia="Times New Roman"/>
          <w:color w:val="000000"/>
          <w:lang w:eastAsia="en-US"/>
        </w:rPr>
        <w:t xml:space="preserve"> ranking</w:t>
      </w:r>
      <w:r w:rsidRPr="00C2292D">
        <w:rPr>
          <w:rFonts w:eastAsia="Times New Roman"/>
          <w:color w:val="000000"/>
          <w:lang w:eastAsia="en-US"/>
        </w:rPr>
        <w:t xml:space="preserve"> in 2019</w:t>
      </w:r>
      <w:r w:rsidR="00316DA9">
        <w:rPr>
          <w:rFonts w:eastAsia="Times New Roman"/>
          <w:color w:val="000000"/>
          <w:lang w:eastAsia="en-US"/>
        </w:rPr>
        <w:t>)</w:t>
      </w:r>
      <w:r w:rsidRPr="00C2292D">
        <w:rPr>
          <w:rFonts w:eastAsia="Times New Roman"/>
          <w:color w:val="000000"/>
          <w:lang w:eastAsia="en-US"/>
        </w:rPr>
        <w:t>.</w:t>
      </w:r>
      <w:r w:rsidRPr="00C2292D">
        <w:rPr>
          <w:rFonts w:eastAsia="Times New Roman"/>
          <w:color w:val="000000"/>
          <w:vertAlign w:val="superscript"/>
          <w:lang w:eastAsia="en-US"/>
        </w:rPr>
        <w:footnoteReference w:id="12"/>
      </w:r>
      <w:r w:rsidRPr="00C2292D">
        <w:rPr>
          <w:rFonts w:eastAsia="Times New Roman"/>
          <w:color w:val="000000"/>
          <w:lang w:eastAsia="en-US"/>
        </w:rPr>
        <w:t xml:space="preserve"> Georgia Power </w:t>
      </w:r>
      <w:r w:rsidR="005D6146">
        <w:rPr>
          <w:rFonts w:eastAsia="Times New Roman"/>
          <w:color w:val="000000"/>
          <w:lang w:eastAsia="en-US"/>
        </w:rPr>
        <w:t xml:space="preserve">currently </w:t>
      </w:r>
      <w:r w:rsidRPr="00C2292D">
        <w:rPr>
          <w:rFonts w:eastAsia="Times New Roman"/>
          <w:color w:val="000000"/>
          <w:lang w:eastAsia="en-US"/>
        </w:rPr>
        <w:t xml:space="preserve">has over </w:t>
      </w:r>
      <w:r w:rsidR="002537BA">
        <w:rPr>
          <w:rFonts w:eastAsia="Times New Roman"/>
          <w:color w:val="000000"/>
          <w:lang w:eastAsia="en-US"/>
        </w:rPr>
        <w:t>1.6 GW</w:t>
      </w:r>
      <w:r w:rsidRPr="00C2292D">
        <w:rPr>
          <w:rFonts w:eastAsia="Times New Roman"/>
          <w:color w:val="000000"/>
          <w:lang w:eastAsia="en-US"/>
        </w:rPr>
        <w:t xml:space="preserve"> of solar capacity on its system, with plans </w:t>
      </w:r>
      <w:r w:rsidR="00316DA9">
        <w:rPr>
          <w:rFonts w:eastAsia="Times New Roman"/>
          <w:color w:val="000000"/>
          <w:lang w:eastAsia="en-US"/>
        </w:rPr>
        <w:t xml:space="preserve">for two-plus gigawatts of </w:t>
      </w:r>
      <w:r w:rsidR="005D6146">
        <w:rPr>
          <w:rFonts w:eastAsia="Times New Roman"/>
          <w:color w:val="000000"/>
          <w:lang w:eastAsia="en-US"/>
        </w:rPr>
        <w:t xml:space="preserve">additional capacity </w:t>
      </w:r>
      <w:r w:rsidRPr="00C2292D">
        <w:rPr>
          <w:rFonts w:eastAsia="Times New Roman"/>
          <w:color w:val="000000"/>
          <w:lang w:eastAsia="en-US"/>
        </w:rPr>
        <w:t xml:space="preserve">in the near future. </w:t>
      </w:r>
      <w:r w:rsidR="00316DA9">
        <w:rPr>
          <w:rFonts w:eastAsia="Times New Roman"/>
          <w:color w:val="000000"/>
          <w:lang w:eastAsia="en-US"/>
        </w:rPr>
        <w:t xml:space="preserve">This sharp contrast in program success is </w:t>
      </w:r>
      <w:r w:rsidR="00316DA9" w:rsidRPr="00CC7F45">
        <w:rPr>
          <w:rFonts w:eastAsia="Times New Roman"/>
          <w:color w:val="000000"/>
          <w:lang w:eastAsia="en-US"/>
        </w:rPr>
        <w:t xml:space="preserve">depicted in Figure </w:t>
      </w:r>
      <w:r w:rsidR="00860BFB" w:rsidRPr="00CC7F45">
        <w:rPr>
          <w:rFonts w:eastAsia="Times New Roman"/>
          <w:color w:val="000000"/>
          <w:lang w:eastAsia="en-US"/>
        </w:rPr>
        <w:t>3</w:t>
      </w:r>
      <w:r w:rsidR="00316DA9" w:rsidRPr="00CC7F45">
        <w:rPr>
          <w:rFonts w:eastAsia="Times New Roman"/>
          <w:color w:val="000000"/>
          <w:lang w:eastAsia="en-US"/>
        </w:rPr>
        <w:t xml:space="preserve"> below</w:t>
      </w:r>
      <w:r w:rsidR="005D6146">
        <w:rPr>
          <w:rFonts w:eastAsia="Times New Roman"/>
          <w:color w:val="000000"/>
          <w:lang w:eastAsia="en-US"/>
        </w:rPr>
        <w:t xml:space="preserve">. </w:t>
      </w:r>
    </w:p>
    <w:p w14:paraId="7E14B3F4" w14:textId="77777777" w:rsidR="003B092D" w:rsidRPr="00C2292D" w:rsidRDefault="003B092D" w:rsidP="00FF5AC6">
      <w:pPr>
        <w:shd w:val="clear" w:color="auto" w:fill="FFFFFF"/>
        <w:spacing w:line="480" w:lineRule="auto"/>
        <w:ind w:left="720"/>
        <w:jc w:val="both"/>
        <w:rPr>
          <w:rFonts w:eastAsia="Times New Roman"/>
          <w:color w:val="000000"/>
          <w:lang w:eastAsia="en-US"/>
        </w:rPr>
      </w:pPr>
      <w:r>
        <w:rPr>
          <w:rFonts w:eastAsia="Times New Roman"/>
          <w:color w:val="000000"/>
          <w:lang w:eastAsia="en-US"/>
        </w:rPr>
        <w:t>Clearly</w:t>
      </w:r>
      <w:r w:rsidRPr="00C2292D">
        <w:rPr>
          <w:rFonts w:eastAsia="Times New Roman"/>
          <w:color w:val="000000"/>
          <w:lang w:eastAsia="en-US"/>
        </w:rPr>
        <w:t xml:space="preserve"> the solar industry and the marketplace find the</w:t>
      </w:r>
      <w:r>
        <w:rPr>
          <w:rFonts w:eastAsia="Times New Roman"/>
          <w:color w:val="000000"/>
          <w:lang w:eastAsia="en-US"/>
        </w:rPr>
        <w:t xml:space="preserve"> overall fit</w:t>
      </w:r>
      <w:r w:rsidRPr="00C2292D">
        <w:rPr>
          <w:rFonts w:eastAsia="Times New Roman"/>
          <w:color w:val="000000"/>
          <w:lang w:eastAsia="en-US"/>
        </w:rPr>
        <w:t xml:space="preserve"> of the procurement programs far preferable to the terms of the standard offer contract. </w:t>
      </w:r>
      <w:r w:rsidRPr="005D6146">
        <w:rPr>
          <w:rFonts w:eastAsia="Times New Roman"/>
          <w:color w:val="000000"/>
          <w:lang w:eastAsia="en-US"/>
        </w:rPr>
        <w:t xml:space="preserve">Developers have </w:t>
      </w:r>
      <w:r>
        <w:rPr>
          <w:rFonts w:eastAsia="Times New Roman"/>
          <w:color w:val="000000"/>
          <w:lang w:eastAsia="en-US"/>
        </w:rPr>
        <w:t>preferred</w:t>
      </w:r>
      <w:r w:rsidRPr="005D6146">
        <w:rPr>
          <w:rFonts w:eastAsia="Times New Roman"/>
          <w:color w:val="000000"/>
          <w:lang w:eastAsia="en-US"/>
        </w:rPr>
        <w:t xml:space="preserve"> the procurement programs over the standard offer contract</w:t>
      </w:r>
      <w:r>
        <w:rPr>
          <w:rFonts w:eastAsia="Times New Roman"/>
          <w:color w:val="000000"/>
          <w:lang w:eastAsia="en-US"/>
        </w:rPr>
        <w:t xml:space="preserve"> even though this has generally meant bidding in below avoided cost. That developers would eschew the opportunity to earn the higher compensation of full avoided cost is a sign that the standard </w:t>
      </w:r>
      <w:r>
        <w:rPr>
          <w:rFonts w:eastAsia="Times New Roman"/>
          <w:color w:val="000000"/>
          <w:lang w:eastAsia="en-US"/>
        </w:rPr>
        <w:lastRenderedPageBreak/>
        <w:t>offer contracts (which offer neither fixed pricing nor clear long-term contract options) are not working to fulfill PURPA’s purpose of encouraging QF development</w:t>
      </w:r>
      <w:r w:rsidRPr="005D6146">
        <w:rPr>
          <w:rFonts w:eastAsia="Times New Roman"/>
          <w:color w:val="000000"/>
          <w:lang w:eastAsia="en-US"/>
        </w:rPr>
        <w:t xml:space="preserve">. </w:t>
      </w:r>
    </w:p>
    <w:p w14:paraId="7B4886AF" w14:textId="77777777" w:rsidR="00C2292D" w:rsidRPr="00C2292D" w:rsidRDefault="00C2292D" w:rsidP="00FF5AC6">
      <w:pPr>
        <w:suppressLineNumbers/>
        <w:shd w:val="clear" w:color="auto" w:fill="FFFFFF"/>
        <w:spacing w:before="100" w:beforeAutospacing="1" w:line="276" w:lineRule="auto"/>
        <w:ind w:left="720" w:hanging="810"/>
        <w:rPr>
          <w:rFonts w:eastAsia="Times New Roman"/>
          <w:color w:val="000000"/>
          <w:lang w:eastAsia="en-US"/>
        </w:rPr>
      </w:pPr>
      <w:r w:rsidRPr="00C2292D">
        <w:rPr>
          <w:rFonts w:eastAsia="Calibri"/>
          <w:noProof/>
          <w:sz w:val="22"/>
          <w:szCs w:val="22"/>
          <w:lang w:eastAsia="en-US"/>
        </w:rPr>
        <w:drawing>
          <wp:inline distT="0" distB="0" distL="0" distR="0" wp14:anchorId="3E2E06A8" wp14:editId="06C23373">
            <wp:extent cx="6126480" cy="4145192"/>
            <wp:effectExtent l="0" t="0" r="7620" b="8255"/>
            <wp:docPr id="7" name="Chart 7">
              <a:extLst xmlns:a="http://schemas.openxmlformats.org/drawingml/2006/main">
                <a:ext uri="{FF2B5EF4-FFF2-40B4-BE49-F238E27FC236}">
                  <a16:creationId xmlns:a16="http://schemas.microsoft.com/office/drawing/2014/main" id="{4B60DFD5-B1EE-2341-A121-0DB9DE5DDF99}"/>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863D44C" w14:textId="77777777" w:rsidR="00C2292D" w:rsidRPr="00C2292D" w:rsidRDefault="00C2292D" w:rsidP="00FF5AC6">
      <w:pPr>
        <w:suppressLineNumbers/>
        <w:shd w:val="clear" w:color="auto" w:fill="FFFFFF"/>
        <w:spacing w:before="120" w:after="600" w:line="276" w:lineRule="auto"/>
        <w:ind w:left="720" w:hanging="720"/>
        <w:jc w:val="center"/>
        <w:rPr>
          <w:rFonts w:eastAsia="Times New Roman"/>
          <w:i/>
          <w:iCs/>
          <w:color w:val="000000"/>
          <w:lang w:eastAsia="en-US"/>
        </w:rPr>
      </w:pPr>
      <w:r w:rsidRPr="00860BFB">
        <w:rPr>
          <w:rFonts w:eastAsia="Times New Roman"/>
          <w:i/>
          <w:iCs/>
          <w:color w:val="000000"/>
          <w:lang w:eastAsia="en-US"/>
        </w:rPr>
        <w:t xml:space="preserve">Figure </w:t>
      </w:r>
      <w:r w:rsidR="00860BFB" w:rsidRPr="00860BFB">
        <w:rPr>
          <w:rFonts w:eastAsia="Times New Roman"/>
          <w:i/>
          <w:iCs/>
          <w:color w:val="000000"/>
          <w:lang w:eastAsia="en-US"/>
        </w:rPr>
        <w:t>3.</w:t>
      </w:r>
      <w:r w:rsidRPr="00860BFB">
        <w:rPr>
          <w:rFonts w:eastAsia="Times New Roman"/>
          <w:i/>
          <w:iCs/>
          <w:color w:val="000000"/>
          <w:lang w:eastAsia="en-US"/>
        </w:rPr>
        <w:t xml:space="preserve"> </w:t>
      </w:r>
      <w:r w:rsidR="00860BFB" w:rsidRPr="00860BFB">
        <w:rPr>
          <w:rFonts w:eastAsia="Times New Roman"/>
          <w:i/>
          <w:iCs/>
          <w:color w:val="000000"/>
          <w:lang w:eastAsia="en-US"/>
        </w:rPr>
        <w:t xml:space="preserve"> </w:t>
      </w:r>
      <w:r w:rsidRPr="00860BFB">
        <w:rPr>
          <w:rFonts w:eastAsia="Times New Roman"/>
          <w:i/>
          <w:iCs/>
          <w:color w:val="000000"/>
          <w:lang w:eastAsia="en-US"/>
        </w:rPr>
        <w:t>Georgia</w:t>
      </w:r>
      <w:r w:rsidRPr="00C2292D">
        <w:rPr>
          <w:rFonts w:eastAsia="Times New Roman"/>
          <w:i/>
          <w:iCs/>
          <w:color w:val="000000"/>
          <w:lang w:eastAsia="en-US"/>
        </w:rPr>
        <w:t xml:space="preserve"> Power Solar Capacity</w:t>
      </w:r>
      <w:r w:rsidR="00C42C92">
        <w:rPr>
          <w:rFonts w:eastAsia="Times New Roman"/>
          <w:i/>
          <w:iCs/>
          <w:color w:val="000000"/>
          <w:lang w:eastAsia="en-US"/>
        </w:rPr>
        <w:t>, 1995-2020</w:t>
      </w:r>
    </w:p>
    <w:p w14:paraId="18D430AB" w14:textId="77777777" w:rsidR="003B092D" w:rsidRDefault="006E5D38" w:rsidP="00860BFB">
      <w:pPr>
        <w:shd w:val="clear" w:color="auto" w:fill="FFFFFF"/>
        <w:spacing w:line="480" w:lineRule="auto"/>
        <w:ind w:left="720" w:hanging="720"/>
        <w:jc w:val="both"/>
        <w:rPr>
          <w:rFonts w:eastAsia="Times New Roman"/>
          <w:b/>
          <w:color w:val="000000"/>
          <w:lang w:eastAsia="en-US"/>
        </w:rPr>
      </w:pPr>
      <w:r w:rsidRPr="00FF5AC6">
        <w:rPr>
          <w:rFonts w:eastAsia="Times New Roman"/>
          <w:b/>
          <w:color w:val="000000"/>
          <w:lang w:eastAsia="en-US"/>
        </w:rPr>
        <w:t>Q.</w:t>
      </w:r>
      <w:r>
        <w:rPr>
          <w:rFonts w:eastAsia="Times New Roman"/>
          <w:color w:val="000000"/>
          <w:lang w:eastAsia="en-US"/>
        </w:rPr>
        <w:t xml:space="preserve"> </w:t>
      </w:r>
      <w:r>
        <w:rPr>
          <w:rFonts w:eastAsia="Times New Roman"/>
          <w:color w:val="000000"/>
          <w:lang w:eastAsia="en-US"/>
        </w:rPr>
        <w:tab/>
      </w:r>
      <w:r>
        <w:rPr>
          <w:rFonts w:eastAsia="Times New Roman"/>
          <w:b/>
          <w:color w:val="000000"/>
          <w:lang w:eastAsia="en-US"/>
        </w:rPr>
        <w:t>Georgia Power argues that the competitive bidding under IRP-a</w:t>
      </w:r>
      <w:r w:rsidR="007C2539">
        <w:rPr>
          <w:rFonts w:eastAsia="Times New Roman"/>
          <w:b/>
          <w:color w:val="000000"/>
          <w:lang w:eastAsia="en-US"/>
        </w:rPr>
        <w:t xml:space="preserve">pproved programs is better for customers. Why should the Commission </w:t>
      </w:r>
      <w:r w:rsidR="00C73F31">
        <w:rPr>
          <w:rFonts w:eastAsia="Times New Roman"/>
          <w:b/>
          <w:color w:val="000000"/>
          <w:lang w:eastAsia="en-US"/>
        </w:rPr>
        <w:t xml:space="preserve">improve the </w:t>
      </w:r>
      <w:r w:rsidR="007C2539">
        <w:rPr>
          <w:rFonts w:eastAsia="Times New Roman"/>
          <w:b/>
          <w:color w:val="000000"/>
          <w:lang w:eastAsia="en-US"/>
        </w:rPr>
        <w:t xml:space="preserve">standard offer program when that means customers paying more for QF development? </w:t>
      </w:r>
      <w:r>
        <w:rPr>
          <w:rFonts w:eastAsia="Times New Roman"/>
          <w:b/>
          <w:color w:val="000000"/>
          <w:lang w:eastAsia="en-US"/>
        </w:rPr>
        <w:t xml:space="preserve"> </w:t>
      </w:r>
    </w:p>
    <w:p w14:paraId="1F5BC76C" w14:textId="77777777" w:rsidR="007C2539" w:rsidRDefault="003B092D" w:rsidP="00FF5AC6">
      <w:pPr>
        <w:shd w:val="clear" w:color="auto" w:fill="FFFFFF"/>
        <w:spacing w:line="480" w:lineRule="auto"/>
        <w:ind w:left="720" w:hanging="720"/>
        <w:jc w:val="both"/>
        <w:rPr>
          <w:rFonts w:eastAsia="Times New Roman"/>
          <w:color w:val="000000"/>
          <w:lang w:eastAsia="en-US"/>
        </w:rPr>
      </w:pPr>
      <w:r>
        <w:rPr>
          <w:rFonts w:eastAsia="Times New Roman"/>
          <w:color w:val="000000"/>
          <w:lang w:eastAsia="en-US"/>
        </w:rPr>
        <w:t>A.</w:t>
      </w:r>
      <w:r>
        <w:rPr>
          <w:rFonts w:eastAsia="Times New Roman"/>
          <w:color w:val="000000"/>
          <w:lang w:eastAsia="en-US"/>
        </w:rPr>
        <w:tab/>
      </w:r>
      <w:r w:rsidR="007C2539">
        <w:rPr>
          <w:rFonts w:eastAsia="Times New Roman"/>
          <w:color w:val="000000"/>
          <w:lang w:eastAsia="en-US"/>
        </w:rPr>
        <w:t>It’s important and appropriate for both types of programs – those approved periodically (but not always) in IRPs and those available at any time under the standard offer – to be successful. Notably, Georgia Power is not proposing to eliminate the standard offerings</w:t>
      </w:r>
      <w:r w:rsidR="00265A54">
        <w:rPr>
          <w:rFonts w:eastAsia="Times New Roman"/>
          <w:color w:val="000000"/>
          <w:lang w:eastAsia="en-US"/>
        </w:rPr>
        <w:t xml:space="preserve"> </w:t>
      </w:r>
      <w:r w:rsidR="00265A54">
        <w:rPr>
          <w:rFonts w:eastAsia="Times New Roman"/>
          <w:color w:val="000000"/>
          <w:lang w:eastAsia="en-US"/>
        </w:rPr>
        <w:lastRenderedPageBreak/>
        <w:t>but instead argues it makes “good commercial sense” to maintain them</w:t>
      </w:r>
      <w:r w:rsidR="007C2539">
        <w:rPr>
          <w:rFonts w:eastAsia="Times New Roman"/>
          <w:color w:val="000000"/>
          <w:lang w:eastAsia="en-US"/>
        </w:rPr>
        <w:t>.</w:t>
      </w:r>
      <w:r w:rsidR="000411BC">
        <w:rPr>
          <w:rStyle w:val="FootnoteReference"/>
          <w:rFonts w:eastAsia="Times New Roman"/>
          <w:color w:val="000000"/>
          <w:lang w:eastAsia="en-US"/>
        </w:rPr>
        <w:footnoteReference w:id="13"/>
      </w:r>
      <w:r w:rsidR="007C2539">
        <w:rPr>
          <w:rFonts w:eastAsia="Times New Roman"/>
          <w:color w:val="000000"/>
          <w:lang w:eastAsia="en-US"/>
        </w:rPr>
        <w:t xml:space="preserve"> Nor is the Company proposing to rely exclusively on competitive bidding under IRP-approved programs as its sole means of complying with PURPA. Instead Georgia Power proposes </w:t>
      </w:r>
      <w:r w:rsidR="00C4725B">
        <w:rPr>
          <w:rFonts w:eastAsia="Times New Roman"/>
          <w:color w:val="000000"/>
          <w:lang w:eastAsia="en-US"/>
        </w:rPr>
        <w:t>to maintain the current setup where</w:t>
      </w:r>
      <w:r w:rsidR="0058508A">
        <w:rPr>
          <w:rFonts w:eastAsia="Times New Roman"/>
          <w:color w:val="000000"/>
          <w:lang w:eastAsia="en-US"/>
        </w:rPr>
        <w:t>in</w:t>
      </w:r>
      <w:r w:rsidR="00C4725B">
        <w:rPr>
          <w:rFonts w:eastAsia="Times New Roman"/>
          <w:color w:val="000000"/>
          <w:lang w:eastAsia="en-US"/>
        </w:rPr>
        <w:t xml:space="preserve"> both types of programs have a role. If we’re to continue doing both in Georgia – and we agree with doing </w:t>
      </w:r>
      <w:r w:rsidR="00185C90">
        <w:rPr>
          <w:rFonts w:eastAsia="Times New Roman"/>
          <w:color w:val="000000"/>
          <w:lang w:eastAsia="en-US"/>
        </w:rPr>
        <w:t xml:space="preserve">both </w:t>
      </w:r>
      <w:r w:rsidR="00C4725B">
        <w:rPr>
          <w:rFonts w:eastAsia="Times New Roman"/>
          <w:color w:val="000000"/>
          <w:lang w:eastAsia="en-US"/>
        </w:rPr>
        <w:t>as a matter of wise policy – then both</w:t>
      </w:r>
      <w:r w:rsidR="00A440C7">
        <w:rPr>
          <w:rFonts w:eastAsia="Times New Roman"/>
          <w:color w:val="000000"/>
          <w:lang w:eastAsia="en-US"/>
        </w:rPr>
        <w:t xml:space="preserve"> programs</w:t>
      </w:r>
      <w:r w:rsidR="00C4725B">
        <w:rPr>
          <w:rFonts w:eastAsia="Times New Roman"/>
          <w:color w:val="000000"/>
          <w:lang w:eastAsia="en-US"/>
        </w:rPr>
        <w:t xml:space="preserve"> should be successful. </w:t>
      </w:r>
      <w:r w:rsidR="00FA2469" w:rsidRPr="00FA2469">
        <w:rPr>
          <w:rFonts w:eastAsia="Times New Roman"/>
          <w:color w:val="000000"/>
          <w:lang w:eastAsia="en-US"/>
        </w:rPr>
        <w:t xml:space="preserve">Improving the terms of the standard offer contract </w:t>
      </w:r>
      <w:r w:rsidR="00185C90">
        <w:rPr>
          <w:rFonts w:eastAsia="Times New Roman"/>
          <w:color w:val="000000"/>
          <w:lang w:eastAsia="en-US"/>
        </w:rPr>
        <w:t xml:space="preserve">will </w:t>
      </w:r>
      <w:r w:rsidR="00FA2469" w:rsidRPr="00FA2469">
        <w:rPr>
          <w:rFonts w:eastAsia="Times New Roman"/>
          <w:color w:val="000000"/>
          <w:lang w:eastAsia="en-US"/>
        </w:rPr>
        <w:t xml:space="preserve">allow market-based development to occur alongside the Company’s RFP programs and </w:t>
      </w:r>
      <w:r w:rsidR="00DD57F2">
        <w:rPr>
          <w:rFonts w:eastAsia="Times New Roman"/>
          <w:color w:val="000000"/>
          <w:lang w:eastAsia="en-US"/>
        </w:rPr>
        <w:t xml:space="preserve">yield </w:t>
      </w:r>
      <w:r w:rsidR="00FA2469" w:rsidRPr="00FA2469">
        <w:rPr>
          <w:rFonts w:eastAsia="Times New Roman"/>
          <w:color w:val="000000"/>
          <w:lang w:eastAsia="en-US"/>
        </w:rPr>
        <w:t>benefits to customers</w:t>
      </w:r>
      <w:r w:rsidR="00FA2469">
        <w:rPr>
          <w:rFonts w:eastAsia="Times New Roman"/>
          <w:color w:val="000000"/>
          <w:lang w:eastAsia="en-US"/>
        </w:rPr>
        <w:t>.</w:t>
      </w:r>
    </w:p>
    <w:p w14:paraId="3D217E06" w14:textId="4CC87BE1" w:rsidR="00743E2E" w:rsidRPr="00743E2E" w:rsidRDefault="00C4725B" w:rsidP="00743E2E">
      <w:pPr>
        <w:shd w:val="clear" w:color="auto" w:fill="FFFFFF"/>
        <w:spacing w:line="480" w:lineRule="auto"/>
        <w:ind w:left="720"/>
        <w:jc w:val="both"/>
        <w:rPr>
          <w:rFonts w:eastAsia="Times New Roman"/>
          <w:color w:val="000000"/>
          <w:lang w:eastAsia="en-US"/>
        </w:rPr>
      </w:pPr>
      <w:r>
        <w:rPr>
          <w:rFonts w:eastAsia="Times New Roman"/>
          <w:color w:val="000000"/>
          <w:lang w:eastAsia="en-US"/>
        </w:rPr>
        <w:t>It’s important to remember that u</w:t>
      </w:r>
      <w:r w:rsidR="007C2539">
        <w:rPr>
          <w:rFonts w:eastAsia="Times New Roman"/>
          <w:color w:val="000000"/>
          <w:lang w:eastAsia="en-US"/>
        </w:rPr>
        <w:t>nder PURPA and this Commission’s precedent, avoided cost</w:t>
      </w:r>
      <w:r>
        <w:rPr>
          <w:rFonts w:eastAsia="Times New Roman"/>
          <w:color w:val="000000"/>
          <w:lang w:eastAsia="en-US"/>
        </w:rPr>
        <w:t xml:space="preserve"> sets a threshold of ratepayer indifference. As long as QF rates do not exceed avoided costs, ratepayers are not harmed. Collectively, </w:t>
      </w:r>
      <w:r w:rsidR="00FA2469">
        <w:rPr>
          <w:rFonts w:eastAsia="Times New Roman"/>
          <w:color w:val="000000"/>
          <w:lang w:eastAsia="en-US"/>
        </w:rPr>
        <w:t xml:space="preserve">then, </w:t>
      </w:r>
      <w:r>
        <w:rPr>
          <w:rFonts w:eastAsia="Times New Roman"/>
          <w:color w:val="000000"/>
          <w:lang w:eastAsia="en-US"/>
        </w:rPr>
        <w:t>we are talking about programs that produce substantial ratepayer savings by coming in well below avoided costs</w:t>
      </w:r>
      <w:r w:rsidR="00185C90">
        <w:rPr>
          <w:rFonts w:eastAsia="Times New Roman"/>
          <w:color w:val="000000"/>
          <w:lang w:eastAsia="en-US"/>
        </w:rPr>
        <w:t xml:space="preserve"> (in the case of competitively bid programs)</w:t>
      </w:r>
      <w:r>
        <w:rPr>
          <w:rFonts w:eastAsia="Times New Roman"/>
          <w:color w:val="000000"/>
          <w:lang w:eastAsia="en-US"/>
        </w:rPr>
        <w:t xml:space="preserve">, and programs to which ratepayers are indifferent because </w:t>
      </w:r>
      <w:r w:rsidR="00FA2469">
        <w:rPr>
          <w:rFonts w:eastAsia="Times New Roman"/>
          <w:color w:val="000000"/>
          <w:lang w:eastAsia="en-US"/>
        </w:rPr>
        <w:t>they do not cost more than alternative means reliant on fossil fuels</w:t>
      </w:r>
      <w:r w:rsidR="00185C90">
        <w:rPr>
          <w:rFonts w:eastAsia="Times New Roman"/>
          <w:color w:val="000000"/>
          <w:lang w:eastAsia="en-US"/>
        </w:rPr>
        <w:t xml:space="preserve"> (standard offerings)</w:t>
      </w:r>
      <w:r w:rsidR="00FA2469">
        <w:rPr>
          <w:rFonts w:eastAsia="Times New Roman"/>
          <w:color w:val="000000"/>
          <w:lang w:eastAsia="en-US"/>
        </w:rPr>
        <w:t xml:space="preserve">. In both cases ratepayers and the </w:t>
      </w:r>
      <w:r w:rsidR="0068270B">
        <w:rPr>
          <w:rFonts w:eastAsia="Times New Roman"/>
          <w:color w:val="000000"/>
          <w:lang w:eastAsia="en-US"/>
        </w:rPr>
        <w:t>S</w:t>
      </w:r>
      <w:r w:rsidR="00FA2469">
        <w:rPr>
          <w:rFonts w:eastAsia="Times New Roman"/>
          <w:color w:val="000000"/>
          <w:lang w:eastAsia="en-US"/>
        </w:rPr>
        <w:t>tate of Georgia broadly reap substantial benefits in the form of</w:t>
      </w:r>
      <w:r w:rsidR="00A440C7">
        <w:rPr>
          <w:rFonts w:eastAsia="Times New Roman"/>
          <w:color w:val="000000"/>
          <w:lang w:eastAsia="en-US"/>
        </w:rPr>
        <w:t xml:space="preserve"> economic development, reduced carbon risk,</w:t>
      </w:r>
      <w:r w:rsidR="00FA2469">
        <w:rPr>
          <w:rFonts w:eastAsia="Times New Roman"/>
          <w:color w:val="000000"/>
          <w:lang w:eastAsia="en-US"/>
        </w:rPr>
        <w:t xml:space="preserve"> reduced pollution,</w:t>
      </w:r>
      <w:r w:rsidR="00A440C7">
        <w:rPr>
          <w:rFonts w:eastAsia="Times New Roman"/>
          <w:color w:val="000000"/>
          <w:lang w:eastAsia="en-US"/>
        </w:rPr>
        <w:t xml:space="preserve"> and</w:t>
      </w:r>
      <w:r w:rsidR="00FA2469">
        <w:rPr>
          <w:rFonts w:eastAsia="Times New Roman"/>
          <w:color w:val="000000"/>
          <w:lang w:eastAsia="en-US"/>
        </w:rPr>
        <w:t xml:space="preserve"> lessened strain on </w:t>
      </w:r>
      <w:r w:rsidR="00FA2469" w:rsidRPr="00633B83">
        <w:rPr>
          <w:rFonts w:eastAsia="Times New Roman"/>
          <w:color w:val="000000"/>
          <w:spacing w:val="-2"/>
          <w:lang w:eastAsia="en-US"/>
        </w:rPr>
        <w:t xml:space="preserve">water supplies. While those added benefits do not figure into avoided cost calculations in the current regulatory environment, they are nevertheless important as policy considerations </w:t>
      </w:r>
      <w:r w:rsidR="00FA2469">
        <w:rPr>
          <w:rFonts w:eastAsia="Times New Roman"/>
          <w:color w:val="000000"/>
          <w:lang w:eastAsia="en-US"/>
        </w:rPr>
        <w:t xml:space="preserve">for this Commission as it considers a just and reasonable outcome to this case.  </w:t>
      </w:r>
      <w:r w:rsidR="00743E2E">
        <w:rPr>
          <w:rFonts w:eastAsia="Calibri"/>
          <w:b/>
          <w:bCs/>
          <w:lang w:eastAsia="en-US"/>
        </w:rPr>
        <w:br w:type="page"/>
      </w:r>
    </w:p>
    <w:p w14:paraId="18772D6E" w14:textId="3A572B36" w:rsidR="00C2292D" w:rsidRDefault="00C2292D" w:rsidP="00C2292D">
      <w:pPr>
        <w:spacing w:line="480" w:lineRule="auto"/>
        <w:ind w:left="720" w:hanging="720"/>
        <w:jc w:val="both"/>
        <w:rPr>
          <w:rFonts w:eastAsia="Calibri"/>
          <w:b/>
          <w:bCs/>
          <w:lang w:eastAsia="en-US"/>
        </w:rPr>
      </w:pPr>
      <w:r w:rsidRPr="00C2292D">
        <w:rPr>
          <w:rFonts w:eastAsia="Calibri"/>
          <w:b/>
          <w:bCs/>
          <w:lang w:eastAsia="en-US"/>
        </w:rPr>
        <w:lastRenderedPageBreak/>
        <w:t>Q.</w:t>
      </w:r>
      <w:r w:rsidRPr="00C2292D">
        <w:rPr>
          <w:rFonts w:eastAsia="Calibri"/>
          <w:b/>
          <w:bCs/>
          <w:lang w:eastAsia="en-US"/>
        </w:rPr>
        <w:tab/>
      </w:r>
      <w:r w:rsidR="0058508A">
        <w:rPr>
          <w:rFonts w:eastAsia="Calibri"/>
          <w:b/>
          <w:bCs/>
          <w:lang w:eastAsia="en-US"/>
        </w:rPr>
        <w:t xml:space="preserve">Georgia Power argues in its testimony that renewable growth is best managed </w:t>
      </w:r>
      <w:proofErr w:type="gramStart"/>
      <w:r w:rsidR="0058508A">
        <w:rPr>
          <w:rFonts w:eastAsia="Calibri"/>
          <w:b/>
          <w:bCs/>
          <w:lang w:eastAsia="en-US"/>
        </w:rPr>
        <w:t>through</w:t>
      </w:r>
      <w:proofErr w:type="gramEnd"/>
      <w:r w:rsidR="0058508A">
        <w:rPr>
          <w:rFonts w:eastAsia="Calibri"/>
          <w:b/>
          <w:bCs/>
          <w:lang w:eastAsia="en-US"/>
        </w:rPr>
        <w:t xml:space="preserve"> competitive solicitations informed by the Commission’s IRP and RFP processes. Do you agree? </w:t>
      </w:r>
    </w:p>
    <w:p w14:paraId="2F168FEE" w14:textId="77777777" w:rsidR="002E0C31" w:rsidRDefault="0058508A" w:rsidP="00C2292D">
      <w:pPr>
        <w:spacing w:line="480" w:lineRule="auto"/>
        <w:ind w:left="720" w:hanging="720"/>
        <w:jc w:val="both"/>
        <w:rPr>
          <w:rFonts w:eastAsia="Calibri"/>
          <w:bCs/>
          <w:lang w:eastAsia="en-US"/>
        </w:rPr>
      </w:pPr>
      <w:r>
        <w:rPr>
          <w:rFonts w:eastAsia="Calibri"/>
          <w:bCs/>
          <w:lang w:eastAsia="en-US"/>
        </w:rPr>
        <w:t>A.</w:t>
      </w:r>
      <w:r>
        <w:rPr>
          <w:rFonts w:eastAsia="Calibri"/>
          <w:bCs/>
          <w:lang w:eastAsia="en-US"/>
        </w:rPr>
        <w:tab/>
        <w:t xml:space="preserve">Not entirely. Certainly the IRP-approved programs have been enormously successful, and for that the Commission and Georgia Power deserve </w:t>
      </w:r>
      <w:r w:rsidR="00DD57F2">
        <w:rPr>
          <w:rFonts w:eastAsia="Calibri"/>
          <w:bCs/>
          <w:lang w:eastAsia="en-US"/>
        </w:rPr>
        <w:t xml:space="preserve">due </w:t>
      </w:r>
      <w:r>
        <w:rPr>
          <w:rFonts w:eastAsia="Calibri"/>
          <w:bCs/>
          <w:lang w:eastAsia="en-US"/>
        </w:rPr>
        <w:t xml:space="preserve">credit. But again, such programs should not serve as the exclusive means of encouraging renewable development in Georgia, nor is that what Georgia Power proposes. </w:t>
      </w:r>
    </w:p>
    <w:p w14:paraId="0F9C756E" w14:textId="77777777" w:rsidR="002E0C31" w:rsidRDefault="002E0C31" w:rsidP="00C2292D">
      <w:pPr>
        <w:spacing w:line="480" w:lineRule="auto"/>
        <w:ind w:left="720" w:hanging="720"/>
        <w:jc w:val="both"/>
        <w:rPr>
          <w:rFonts w:eastAsia="Calibri"/>
          <w:bCs/>
          <w:lang w:eastAsia="en-US"/>
        </w:rPr>
      </w:pPr>
      <w:r>
        <w:rPr>
          <w:rFonts w:eastAsia="Calibri"/>
          <w:bCs/>
          <w:lang w:eastAsia="en-US"/>
        </w:rPr>
        <w:tab/>
        <w:t xml:space="preserve">In addition, an approach </w:t>
      </w:r>
      <w:r w:rsidR="009C7B25">
        <w:rPr>
          <w:rFonts w:eastAsia="Calibri"/>
          <w:bCs/>
          <w:lang w:eastAsia="en-US"/>
        </w:rPr>
        <w:t xml:space="preserve">that is </w:t>
      </w:r>
      <w:r>
        <w:rPr>
          <w:rFonts w:eastAsia="Calibri"/>
          <w:bCs/>
          <w:lang w:eastAsia="en-US"/>
        </w:rPr>
        <w:t xml:space="preserve">overly reliant on </w:t>
      </w:r>
      <w:r w:rsidR="009C7B25">
        <w:rPr>
          <w:rFonts w:eastAsia="Calibri"/>
          <w:bCs/>
          <w:lang w:eastAsia="en-US"/>
        </w:rPr>
        <w:t xml:space="preserve">future </w:t>
      </w:r>
      <w:r>
        <w:rPr>
          <w:rFonts w:eastAsia="Calibri"/>
          <w:bCs/>
          <w:lang w:eastAsia="en-US"/>
        </w:rPr>
        <w:t xml:space="preserve">IRP </w:t>
      </w:r>
      <w:r w:rsidR="00185C90">
        <w:rPr>
          <w:rFonts w:eastAsia="Calibri"/>
          <w:bCs/>
          <w:lang w:eastAsia="en-US"/>
        </w:rPr>
        <w:t xml:space="preserve">outcomes </w:t>
      </w:r>
      <w:r w:rsidRPr="002E0C31">
        <w:rPr>
          <w:rFonts w:eastAsia="Calibri"/>
          <w:bCs/>
          <w:lang w:eastAsia="en-US"/>
        </w:rPr>
        <w:t xml:space="preserve">creates uncertainty about program existence beyond the three years </w:t>
      </w:r>
      <w:r>
        <w:rPr>
          <w:rFonts w:eastAsia="Calibri"/>
          <w:bCs/>
          <w:lang w:eastAsia="en-US"/>
        </w:rPr>
        <w:t>for which</w:t>
      </w:r>
      <w:r w:rsidRPr="002E0C31">
        <w:rPr>
          <w:rFonts w:eastAsia="Calibri"/>
          <w:bCs/>
          <w:lang w:eastAsia="en-US"/>
        </w:rPr>
        <w:t xml:space="preserve"> any IRP programs are approved. This can </w:t>
      </w:r>
      <w:r>
        <w:rPr>
          <w:rFonts w:eastAsia="Calibri"/>
          <w:bCs/>
          <w:lang w:eastAsia="en-US"/>
        </w:rPr>
        <w:t>produce</w:t>
      </w:r>
      <w:r w:rsidRPr="002E0C31">
        <w:rPr>
          <w:rFonts w:eastAsia="Calibri"/>
          <w:bCs/>
          <w:lang w:eastAsia="en-US"/>
        </w:rPr>
        <w:t xml:space="preserve"> boom-bust cycles as programs are approved and implemented, and we have seen that happen with these </w:t>
      </w:r>
      <w:r w:rsidRPr="00633B83">
        <w:rPr>
          <w:rFonts w:eastAsia="Calibri"/>
          <w:bCs/>
          <w:lang w:eastAsia="en-US"/>
        </w:rPr>
        <w:t>programs (</w:t>
      </w:r>
      <w:r w:rsidRPr="00DD57F2">
        <w:rPr>
          <w:rFonts w:eastAsia="Calibri"/>
          <w:bCs/>
          <w:lang w:eastAsia="en-US"/>
        </w:rPr>
        <w:t xml:space="preserve">Figure </w:t>
      </w:r>
      <w:r w:rsidR="00633B83" w:rsidRPr="00DD57F2">
        <w:rPr>
          <w:rFonts w:eastAsia="Calibri"/>
          <w:bCs/>
          <w:lang w:eastAsia="en-US"/>
        </w:rPr>
        <w:t>3</w:t>
      </w:r>
      <w:r w:rsidRPr="00633B83">
        <w:rPr>
          <w:rFonts w:eastAsia="Calibri"/>
          <w:bCs/>
          <w:lang w:eastAsia="en-US"/>
        </w:rPr>
        <w:t>)</w:t>
      </w:r>
      <w:r w:rsidR="009C7B25" w:rsidRPr="00633B83">
        <w:rPr>
          <w:rFonts w:eastAsia="Calibri"/>
          <w:bCs/>
          <w:lang w:eastAsia="en-US"/>
        </w:rPr>
        <w:t>.</w:t>
      </w:r>
    </w:p>
    <w:p w14:paraId="0051B9E2" w14:textId="77777777" w:rsidR="0058508A" w:rsidRDefault="002E0C31" w:rsidP="00F621ED">
      <w:pPr>
        <w:spacing w:line="480" w:lineRule="auto"/>
        <w:ind w:left="720"/>
        <w:jc w:val="both"/>
        <w:rPr>
          <w:rFonts w:eastAsia="Calibri"/>
          <w:bCs/>
          <w:lang w:eastAsia="en-US"/>
        </w:rPr>
      </w:pPr>
      <w:r>
        <w:rPr>
          <w:rFonts w:eastAsia="Calibri"/>
          <w:bCs/>
          <w:lang w:eastAsia="en-US"/>
        </w:rPr>
        <w:t>Finally, i</w:t>
      </w:r>
      <w:r w:rsidR="0058508A">
        <w:rPr>
          <w:rFonts w:eastAsia="Calibri"/>
          <w:bCs/>
          <w:lang w:eastAsia="en-US"/>
        </w:rPr>
        <w:t>t’s important to note that even within the IRP-approved programs, competitive bidding has not always been required. The Commission has recognized, appropriately, th</w:t>
      </w:r>
      <w:r>
        <w:rPr>
          <w:rFonts w:eastAsia="Calibri"/>
          <w:bCs/>
          <w:lang w:eastAsia="en-US"/>
        </w:rPr>
        <w:t xml:space="preserve">e need for </w:t>
      </w:r>
      <w:r w:rsidR="0058508A">
        <w:rPr>
          <w:rFonts w:eastAsia="Calibri"/>
          <w:bCs/>
          <w:lang w:eastAsia="en-US"/>
        </w:rPr>
        <w:t xml:space="preserve">smaller, customer-sited allotments </w:t>
      </w:r>
      <w:r w:rsidR="009C7B25">
        <w:rPr>
          <w:rFonts w:eastAsia="Calibri"/>
          <w:bCs/>
          <w:lang w:eastAsia="en-US"/>
        </w:rPr>
        <w:t>to</w:t>
      </w:r>
      <w:r w:rsidR="0058508A">
        <w:rPr>
          <w:rFonts w:eastAsia="Calibri"/>
          <w:bCs/>
          <w:lang w:eastAsia="en-US"/>
        </w:rPr>
        <w:t xml:space="preserve"> receive the full, administratively set avoided cost rather than </w:t>
      </w:r>
      <w:r>
        <w:rPr>
          <w:rFonts w:eastAsia="Calibri"/>
          <w:bCs/>
          <w:lang w:eastAsia="en-US"/>
        </w:rPr>
        <w:t xml:space="preserve">be required to </w:t>
      </w:r>
      <w:r w:rsidR="0058508A">
        <w:rPr>
          <w:rFonts w:eastAsia="Calibri"/>
          <w:bCs/>
          <w:lang w:eastAsia="en-US"/>
        </w:rPr>
        <w:t xml:space="preserve">go through competitive bidding. </w:t>
      </w:r>
    </w:p>
    <w:p w14:paraId="5A54BA10" w14:textId="77777777" w:rsidR="002E0C31" w:rsidRDefault="002E0C31" w:rsidP="008A1C44">
      <w:pPr>
        <w:spacing w:line="480" w:lineRule="auto"/>
        <w:ind w:left="720"/>
        <w:jc w:val="both"/>
        <w:rPr>
          <w:rFonts w:eastAsia="Calibri"/>
          <w:bCs/>
          <w:lang w:eastAsia="en-US"/>
        </w:rPr>
      </w:pPr>
      <w:r>
        <w:rPr>
          <w:rFonts w:eastAsia="Calibri"/>
          <w:bCs/>
          <w:lang w:eastAsia="en-US"/>
        </w:rPr>
        <w:t xml:space="preserve">For all these reasons, it’s important to have a robust standard offer program as a supplement to IRP-approved programs, and in particular, standard offerings (including the RNR tariff) that </w:t>
      </w:r>
      <w:r w:rsidR="009C7B25">
        <w:rPr>
          <w:rFonts w:eastAsia="Calibri"/>
          <w:bCs/>
          <w:lang w:eastAsia="en-US"/>
        </w:rPr>
        <w:t xml:space="preserve">will actually </w:t>
      </w:r>
      <w:r>
        <w:rPr>
          <w:rFonts w:eastAsia="Calibri"/>
          <w:bCs/>
          <w:lang w:eastAsia="en-US"/>
        </w:rPr>
        <w:t xml:space="preserve">encourage development of smaller QFs. </w:t>
      </w:r>
    </w:p>
    <w:p w14:paraId="7F72E308" w14:textId="77777777" w:rsidR="00157714" w:rsidRPr="00157714" w:rsidRDefault="00157714" w:rsidP="00115C70">
      <w:pPr>
        <w:spacing w:line="480" w:lineRule="auto"/>
        <w:ind w:left="720" w:hanging="720"/>
        <w:jc w:val="both"/>
        <w:rPr>
          <w:rFonts w:eastAsia="Calibri"/>
          <w:b/>
          <w:bCs/>
          <w:lang w:eastAsia="en-US"/>
        </w:rPr>
      </w:pPr>
      <w:r>
        <w:rPr>
          <w:rFonts w:eastAsia="Calibri"/>
          <w:b/>
          <w:bCs/>
          <w:lang w:eastAsia="en-US"/>
        </w:rPr>
        <w:t>Q.</w:t>
      </w:r>
      <w:r>
        <w:rPr>
          <w:rFonts w:eastAsia="Calibri"/>
          <w:b/>
          <w:bCs/>
          <w:lang w:eastAsia="en-US"/>
        </w:rPr>
        <w:tab/>
        <w:t xml:space="preserve">Georgia Power argues that </w:t>
      </w:r>
      <w:r w:rsidR="00C47EA3">
        <w:rPr>
          <w:rFonts w:eastAsia="Calibri"/>
          <w:b/>
          <w:bCs/>
          <w:lang w:eastAsia="en-US"/>
        </w:rPr>
        <w:t>its interpretation and application of the</w:t>
      </w:r>
      <w:r>
        <w:rPr>
          <w:rFonts w:eastAsia="Calibri"/>
          <w:b/>
          <w:bCs/>
          <w:lang w:eastAsia="en-US"/>
        </w:rPr>
        <w:t xml:space="preserve"> Commission’s RFP rule </w:t>
      </w:r>
      <w:r w:rsidR="00115C70">
        <w:rPr>
          <w:rFonts w:eastAsia="Calibri"/>
          <w:b/>
          <w:bCs/>
          <w:lang w:eastAsia="en-US"/>
        </w:rPr>
        <w:t xml:space="preserve">is consistent with criteria outlined by FERC for a competitive, transparent, and nondiscriminatory solicitation process to set avoided cost. Do you agree? </w:t>
      </w:r>
      <w:r w:rsidR="00115C70">
        <w:rPr>
          <w:rFonts w:eastAsia="Calibri"/>
          <w:b/>
          <w:bCs/>
          <w:lang w:eastAsia="en-US"/>
        </w:rPr>
        <w:tab/>
      </w:r>
    </w:p>
    <w:p w14:paraId="757CB5B8" w14:textId="77777777" w:rsidR="00115C70" w:rsidRPr="008D2D0B" w:rsidRDefault="00C2292D" w:rsidP="00115C70">
      <w:pPr>
        <w:spacing w:line="480" w:lineRule="auto"/>
        <w:ind w:left="720" w:hanging="720"/>
        <w:jc w:val="both"/>
      </w:pPr>
      <w:r w:rsidRPr="00C2292D">
        <w:rPr>
          <w:rFonts w:eastAsia="Calibri"/>
          <w:lang w:eastAsia="en-US"/>
        </w:rPr>
        <w:t>A.</w:t>
      </w:r>
      <w:r w:rsidRPr="00C2292D">
        <w:rPr>
          <w:rFonts w:eastAsia="Calibri"/>
          <w:lang w:eastAsia="en-US"/>
        </w:rPr>
        <w:tab/>
      </w:r>
      <w:r w:rsidR="00115C70">
        <w:rPr>
          <w:rFonts w:eastAsia="Calibri"/>
          <w:lang w:eastAsia="en-US"/>
        </w:rPr>
        <w:t xml:space="preserve">No. While the Commission’s RFP rule is suitable for governing all manner of capacity solicitations, it does not appear to us to meet FERC’s criteria, which may be why Georgia </w:t>
      </w:r>
      <w:r w:rsidR="00115C70">
        <w:rPr>
          <w:rFonts w:eastAsia="Calibri"/>
          <w:lang w:eastAsia="en-US"/>
        </w:rPr>
        <w:lastRenderedPageBreak/>
        <w:t xml:space="preserve">Power does not propose to use it to set avoided cost. FERC addresses these criteria in </w:t>
      </w:r>
      <w:r w:rsidR="00DC1E0A">
        <w:rPr>
          <w:rFonts w:eastAsia="Calibri"/>
          <w:lang w:eastAsia="en-US"/>
        </w:rPr>
        <w:t xml:space="preserve">a revision of </w:t>
      </w:r>
      <w:r w:rsidR="00760211">
        <w:rPr>
          <w:rFonts w:eastAsia="Calibri"/>
          <w:lang w:eastAsia="en-US"/>
        </w:rPr>
        <w:t>18 C.F.R. § 292.304</w:t>
      </w:r>
      <w:r w:rsidR="00115C70">
        <w:rPr>
          <w:rFonts w:eastAsia="Calibri"/>
          <w:lang w:eastAsia="en-US"/>
        </w:rPr>
        <w:t xml:space="preserve">(b)(8) adopted through Order 872, which reads: </w:t>
      </w:r>
    </w:p>
    <w:p w14:paraId="4C5451F3" w14:textId="77777777" w:rsidR="00115C70" w:rsidRPr="00115C70" w:rsidRDefault="00115C70" w:rsidP="00534867">
      <w:pPr>
        <w:shd w:val="clear" w:color="auto" w:fill="FFFFFF"/>
        <w:spacing w:after="150"/>
        <w:ind w:left="1440"/>
        <w:rPr>
          <w:rFonts w:eastAsia="Times New Roman"/>
          <w:color w:val="333333"/>
        </w:rPr>
      </w:pPr>
      <w:r w:rsidRPr="00115C70">
        <w:rPr>
          <w:rFonts w:eastAsia="Times New Roman"/>
          <w:b/>
          <w:bCs/>
          <w:color w:val="333333"/>
        </w:rPr>
        <w:t>(8)</w:t>
      </w:r>
      <w:r w:rsidRPr="00115C70">
        <w:rPr>
          <w:rFonts w:eastAsia="Times New Roman"/>
          <w:color w:val="333333"/>
        </w:rPr>
        <w:t> </w:t>
      </w:r>
      <w:r w:rsidRPr="00115C70">
        <w:rPr>
          <w:rFonts w:eastAsia="Times New Roman"/>
          <w:i/>
          <w:iCs/>
          <w:color w:val="333333"/>
        </w:rPr>
        <w:t>Competitive Solicitation Price.</w:t>
      </w:r>
      <w:r w:rsidRPr="00115C70">
        <w:rPr>
          <w:rFonts w:eastAsia="Times New Roman"/>
          <w:color w:val="333333"/>
        </w:rPr>
        <w:t> </w:t>
      </w:r>
    </w:p>
    <w:p w14:paraId="59D8A5BA" w14:textId="77777777" w:rsidR="00115C70" w:rsidRPr="00115C70" w:rsidRDefault="00115C70" w:rsidP="00534867">
      <w:pPr>
        <w:shd w:val="clear" w:color="auto" w:fill="FFFFFF"/>
        <w:spacing w:after="150"/>
        <w:ind w:left="1440" w:right="720"/>
        <w:jc w:val="both"/>
        <w:rPr>
          <w:rFonts w:eastAsia="Times New Roman"/>
          <w:color w:val="333333"/>
        </w:rPr>
      </w:pPr>
      <w:r w:rsidRPr="00115C70">
        <w:rPr>
          <w:rFonts w:eastAsia="Times New Roman"/>
          <w:b/>
          <w:bCs/>
          <w:color w:val="333333"/>
        </w:rPr>
        <w:t>(i)</w:t>
      </w:r>
      <w:r w:rsidRPr="00115C70">
        <w:rPr>
          <w:rFonts w:eastAsia="Times New Roman"/>
          <w:color w:val="333333"/>
        </w:rPr>
        <w:t xml:space="preserve"> A state regulatory authority or nonregulated electric utility may use a price determined pursuant to a competitive solicitation process to establish qualifying facility energy and/or capacity rates for sales to electric utilities, provided that such competitive solicitation process is conducted pursuant to procedures ensuring the solicitation is conducted in a transparent and non-discriminatory manner including, but not limited to, the following:</w:t>
      </w:r>
    </w:p>
    <w:p w14:paraId="675AB13A" w14:textId="77777777" w:rsidR="00115C70" w:rsidRPr="00115C70" w:rsidRDefault="00115C70" w:rsidP="00534867">
      <w:pPr>
        <w:shd w:val="clear" w:color="auto" w:fill="FFFFFF"/>
        <w:spacing w:after="150"/>
        <w:ind w:left="1440" w:right="720"/>
        <w:jc w:val="both"/>
        <w:rPr>
          <w:rFonts w:eastAsia="Times New Roman"/>
          <w:color w:val="333333"/>
        </w:rPr>
      </w:pPr>
      <w:r w:rsidRPr="00115C70">
        <w:rPr>
          <w:rFonts w:eastAsia="Times New Roman"/>
          <w:b/>
          <w:bCs/>
          <w:color w:val="333333"/>
        </w:rPr>
        <w:t>(A)</w:t>
      </w:r>
      <w:r w:rsidRPr="00115C70">
        <w:rPr>
          <w:rFonts w:eastAsia="Times New Roman"/>
          <w:color w:val="333333"/>
        </w:rPr>
        <w:t xml:space="preserve"> The solicitation process is an open and transparent process that includes, but is not limited to, providing equally to all potential bidders substantial and meaningful information regarding transmission constraints, levels of congestion, and interconnections, subject to appropriate confidentiality safeguards;</w:t>
      </w:r>
    </w:p>
    <w:p w14:paraId="1D4DE40D" w14:textId="77777777" w:rsidR="00115C70" w:rsidRPr="00115C70" w:rsidRDefault="00115C70" w:rsidP="00534867">
      <w:pPr>
        <w:shd w:val="clear" w:color="auto" w:fill="FFFFFF"/>
        <w:spacing w:after="150"/>
        <w:ind w:left="1440" w:right="720"/>
        <w:jc w:val="both"/>
        <w:rPr>
          <w:rFonts w:eastAsia="Times New Roman"/>
          <w:color w:val="333333"/>
        </w:rPr>
      </w:pPr>
      <w:r w:rsidRPr="00115C70">
        <w:rPr>
          <w:rFonts w:eastAsia="Times New Roman"/>
          <w:b/>
          <w:bCs/>
          <w:color w:val="333333"/>
        </w:rPr>
        <w:t>(B)</w:t>
      </w:r>
      <w:r w:rsidRPr="00115C70">
        <w:rPr>
          <w:rFonts w:eastAsia="Times New Roman"/>
          <w:color w:val="333333"/>
        </w:rPr>
        <w:t xml:space="preserve"> Solicitations are open to all sources, to satisfy that electric utility's capacity needs, taking into account the required operating characteristics of the needed capacity;</w:t>
      </w:r>
    </w:p>
    <w:p w14:paraId="5032825D" w14:textId="77777777" w:rsidR="00115C70" w:rsidRPr="00115C70" w:rsidRDefault="00115C70" w:rsidP="00534867">
      <w:pPr>
        <w:shd w:val="clear" w:color="auto" w:fill="FFFFFF"/>
        <w:spacing w:after="150"/>
        <w:ind w:left="1440" w:right="720"/>
        <w:jc w:val="both"/>
        <w:rPr>
          <w:rFonts w:eastAsia="Times New Roman"/>
          <w:color w:val="333333"/>
        </w:rPr>
      </w:pPr>
      <w:r w:rsidRPr="00115C70">
        <w:rPr>
          <w:rFonts w:eastAsia="Times New Roman"/>
          <w:b/>
          <w:bCs/>
          <w:color w:val="333333"/>
        </w:rPr>
        <w:t>(C)</w:t>
      </w:r>
      <w:r w:rsidRPr="00115C70">
        <w:rPr>
          <w:rFonts w:eastAsia="Times New Roman"/>
          <w:color w:val="333333"/>
        </w:rPr>
        <w:t xml:space="preserve"> Solicitations are conducted at regular intervals;</w:t>
      </w:r>
    </w:p>
    <w:p w14:paraId="3CC01A1A" w14:textId="071F0675" w:rsidR="00115C70" w:rsidRPr="00115C70" w:rsidRDefault="00115C70" w:rsidP="00534867">
      <w:pPr>
        <w:shd w:val="clear" w:color="auto" w:fill="FFFFFF"/>
        <w:spacing w:after="150"/>
        <w:ind w:left="1440" w:right="720"/>
        <w:jc w:val="both"/>
        <w:rPr>
          <w:rFonts w:eastAsia="Times New Roman"/>
          <w:color w:val="333333"/>
        </w:rPr>
      </w:pPr>
      <w:r w:rsidRPr="00534867">
        <w:rPr>
          <w:rFonts w:eastAsia="Times New Roman"/>
          <w:b/>
          <w:bCs/>
          <w:color w:val="333333"/>
          <w:spacing w:val="-2"/>
        </w:rPr>
        <w:t>(D)</w:t>
      </w:r>
      <w:r w:rsidR="00534867" w:rsidRPr="00534867">
        <w:rPr>
          <w:rFonts w:eastAsia="Times New Roman"/>
          <w:b/>
          <w:bCs/>
          <w:color w:val="333333"/>
          <w:spacing w:val="-2"/>
        </w:rPr>
        <w:t xml:space="preserve"> </w:t>
      </w:r>
      <w:r w:rsidRPr="00534867">
        <w:rPr>
          <w:rFonts w:eastAsia="Times New Roman"/>
          <w:color w:val="333333"/>
        </w:rPr>
        <w:t>Solicitations are subject to oversight by an independent administrator;</w:t>
      </w:r>
      <w:r w:rsidRPr="00115C70">
        <w:rPr>
          <w:rFonts w:eastAsia="Times New Roman"/>
          <w:color w:val="333333"/>
        </w:rPr>
        <w:t xml:space="preserve"> and</w:t>
      </w:r>
    </w:p>
    <w:p w14:paraId="30B63C00" w14:textId="77777777" w:rsidR="00C42C92" w:rsidRPr="00115C70" w:rsidRDefault="00115C70" w:rsidP="00534867">
      <w:pPr>
        <w:shd w:val="clear" w:color="auto" w:fill="FFFFFF"/>
        <w:spacing w:after="360"/>
        <w:ind w:left="1440" w:right="720"/>
        <w:jc w:val="both"/>
        <w:rPr>
          <w:rFonts w:eastAsia="Times New Roman"/>
          <w:color w:val="333333"/>
        </w:rPr>
      </w:pPr>
      <w:r w:rsidRPr="00115C70">
        <w:rPr>
          <w:rFonts w:eastAsia="Times New Roman"/>
          <w:b/>
          <w:bCs/>
          <w:color w:val="333333"/>
        </w:rPr>
        <w:t>(E)</w:t>
      </w:r>
      <w:r w:rsidRPr="00115C70">
        <w:rPr>
          <w:rFonts w:eastAsia="Times New Roman"/>
          <w:color w:val="333333"/>
        </w:rPr>
        <w:t xml:space="preserve"> Solicitations are certified as fulfilling the above criteria by the relevant state regulatory authority or nonregulated electric utility through a post-solicitation report.</w:t>
      </w:r>
      <w:r w:rsidR="00DF4B5B">
        <w:rPr>
          <w:rStyle w:val="FootnoteReference"/>
          <w:rFonts w:eastAsia="Times New Roman"/>
          <w:color w:val="333333"/>
        </w:rPr>
        <w:footnoteReference w:id="14"/>
      </w:r>
    </w:p>
    <w:p w14:paraId="5A289CB2" w14:textId="77777777" w:rsidR="00115C70" w:rsidRPr="00115C70" w:rsidRDefault="00115C70" w:rsidP="00115C70">
      <w:pPr>
        <w:keepNext/>
        <w:widowControl w:val="0"/>
        <w:spacing w:line="480" w:lineRule="auto"/>
        <w:ind w:left="720" w:hanging="720"/>
        <w:jc w:val="both"/>
        <w:rPr>
          <w:b/>
        </w:rPr>
      </w:pPr>
      <w:r w:rsidRPr="00115C70">
        <w:rPr>
          <w:b/>
        </w:rPr>
        <w:t>Q.</w:t>
      </w:r>
      <w:r w:rsidRPr="00115C70">
        <w:rPr>
          <w:b/>
        </w:rPr>
        <w:tab/>
        <w:t>Have Georgia Power’s solicitations satisfied condition (8)</w:t>
      </w:r>
      <w:r w:rsidR="00760211">
        <w:rPr>
          <w:b/>
        </w:rPr>
        <w:t>(i)</w:t>
      </w:r>
      <w:r w:rsidRPr="00115C70">
        <w:rPr>
          <w:b/>
        </w:rPr>
        <w:t>(A)?</w:t>
      </w:r>
    </w:p>
    <w:p w14:paraId="63104A8E" w14:textId="77777777" w:rsidR="00185C90" w:rsidRDefault="00115C70" w:rsidP="00115C70">
      <w:pPr>
        <w:spacing w:line="480" w:lineRule="auto"/>
        <w:ind w:left="720" w:hanging="720"/>
        <w:jc w:val="both"/>
      </w:pPr>
      <w:r w:rsidRPr="00115C70">
        <w:t>A.</w:t>
      </w:r>
      <w:r w:rsidRPr="00115C70">
        <w:tab/>
        <w:t xml:space="preserve">No. Georgia Power’s recent solicitations </w:t>
      </w:r>
      <w:r w:rsidR="00185C90">
        <w:t>have not</w:t>
      </w:r>
      <w:r w:rsidRPr="00115C70">
        <w:t xml:space="preserve"> provided potential bidders substantial and meaningful information regarding transmission constraints or levels of congestion. In fact, Georgia Power acknowledged it provides no </w:t>
      </w:r>
      <w:r w:rsidR="00185C90">
        <w:t xml:space="preserve">general </w:t>
      </w:r>
      <w:r w:rsidRPr="00115C70">
        <w:t>informati</w:t>
      </w:r>
      <w:r w:rsidR="00F264FF">
        <w:t>on related to congestion or transmission constraints</w:t>
      </w:r>
      <w:r w:rsidRPr="00115C70">
        <w:t>.</w:t>
      </w:r>
      <w:r w:rsidRPr="00115C70">
        <w:rPr>
          <w:vertAlign w:val="superscript"/>
        </w:rPr>
        <w:footnoteReference w:id="15"/>
      </w:r>
      <w:r w:rsidRPr="00115C70">
        <w:t xml:space="preserve"> </w:t>
      </w:r>
      <w:r w:rsidR="00185C90">
        <w:t xml:space="preserve">In addition, witness Mallard testified that Georgia Power does not in its IRP filings provide public information regarding preferred sites on the </w:t>
      </w:r>
      <w:r w:rsidR="00185C90">
        <w:lastRenderedPageBreak/>
        <w:t>transmission system for the interconnection of new generation, even though that is an express requirement of the Commission’s RFP rule.</w:t>
      </w:r>
      <w:r w:rsidR="00185C90">
        <w:rPr>
          <w:rStyle w:val="FootnoteReference"/>
        </w:rPr>
        <w:footnoteReference w:id="16"/>
      </w:r>
      <w:r w:rsidR="00185C90">
        <w:t xml:space="preserve"> </w:t>
      </w:r>
    </w:p>
    <w:p w14:paraId="03090707" w14:textId="77777777" w:rsidR="00115C70" w:rsidRPr="00115C70" w:rsidRDefault="00115C70" w:rsidP="00B926E7">
      <w:pPr>
        <w:spacing w:line="480" w:lineRule="auto"/>
        <w:ind w:left="720"/>
        <w:jc w:val="both"/>
      </w:pPr>
      <w:r w:rsidRPr="00115C70">
        <w:t>As we noted in our direct testimony</w:t>
      </w:r>
      <w:r w:rsidR="00B926E7">
        <w:t xml:space="preserve"> and again here</w:t>
      </w:r>
      <w:r w:rsidRPr="00115C70">
        <w:t>, it would be beneficial to Georgia Power’s customers if such information was made available to QFs and offered as a price signal through locational marginal pricing</w:t>
      </w:r>
      <w:r w:rsidR="00DD57F2">
        <w:t xml:space="preserve">, </w:t>
      </w:r>
      <w:r w:rsidR="00B926E7">
        <w:t xml:space="preserve">but </w:t>
      </w:r>
      <w:r w:rsidRPr="00115C70">
        <w:t>that information is also not available from Georgia Power.</w:t>
      </w:r>
    </w:p>
    <w:p w14:paraId="0C5F3811" w14:textId="77777777" w:rsidR="00115C70" w:rsidRDefault="00115C70" w:rsidP="00115C70">
      <w:pPr>
        <w:spacing w:line="480" w:lineRule="auto"/>
        <w:ind w:left="720" w:hanging="720"/>
        <w:jc w:val="both"/>
        <w:rPr>
          <w:rFonts w:eastAsia="Calibri"/>
          <w:lang w:eastAsia="en-US"/>
        </w:rPr>
      </w:pPr>
      <w:r w:rsidRPr="008D2D0B">
        <w:tab/>
        <w:t>Georgia Power does provide potential bidders some information regarding interconnections when individual potential bidders request interconnection information from Georgia Power for a specific location, but Georgia Power does not make available any synoptic information about interconnection costs or the capacity of the existing distribution system to support interconnections that would enable potential QFs to select locations that would avoid interconnection costs or optimize the combined effects of interconnection costs and avoided transmission congestion costs.</w:t>
      </w:r>
    </w:p>
    <w:p w14:paraId="3BF69136" w14:textId="77777777" w:rsidR="00F264FF" w:rsidRPr="00F264FF" w:rsidRDefault="00F264FF" w:rsidP="00F264FF">
      <w:pPr>
        <w:spacing w:line="480" w:lineRule="auto"/>
        <w:ind w:left="720" w:hanging="720"/>
        <w:jc w:val="both"/>
        <w:rPr>
          <w:rFonts w:eastAsia="Calibri"/>
          <w:b/>
          <w:lang w:eastAsia="en-US"/>
        </w:rPr>
      </w:pPr>
      <w:r w:rsidRPr="00F264FF">
        <w:rPr>
          <w:rFonts w:eastAsia="Calibri"/>
          <w:b/>
          <w:lang w:eastAsia="en-US"/>
        </w:rPr>
        <w:t>Q.</w:t>
      </w:r>
      <w:r w:rsidRPr="00F264FF">
        <w:rPr>
          <w:rFonts w:eastAsia="Calibri"/>
          <w:b/>
          <w:lang w:eastAsia="en-US"/>
        </w:rPr>
        <w:tab/>
        <w:t>Have Georgia Power’s solicitations satisfied condition (8)</w:t>
      </w:r>
      <w:r w:rsidR="00DC1E0A">
        <w:rPr>
          <w:rFonts w:eastAsia="Calibri"/>
          <w:b/>
          <w:lang w:eastAsia="en-US"/>
        </w:rPr>
        <w:t>(i)</w:t>
      </w:r>
      <w:r w:rsidRPr="00F264FF">
        <w:rPr>
          <w:rFonts w:eastAsia="Calibri"/>
          <w:b/>
          <w:lang w:eastAsia="en-US"/>
        </w:rPr>
        <w:t>(B)?</w:t>
      </w:r>
    </w:p>
    <w:p w14:paraId="7D2D9574" w14:textId="77777777" w:rsidR="00F264FF" w:rsidRPr="00F264FF" w:rsidRDefault="00F264FF" w:rsidP="00F264FF">
      <w:pPr>
        <w:spacing w:line="480" w:lineRule="auto"/>
        <w:ind w:left="720" w:hanging="720"/>
        <w:jc w:val="both"/>
        <w:rPr>
          <w:rFonts w:eastAsia="Calibri"/>
          <w:lang w:eastAsia="en-US"/>
        </w:rPr>
      </w:pPr>
      <w:r w:rsidRPr="00F264FF">
        <w:rPr>
          <w:rFonts w:eastAsia="Calibri"/>
          <w:lang w:eastAsia="en-US"/>
        </w:rPr>
        <w:t>A.</w:t>
      </w:r>
      <w:r w:rsidRPr="00F264FF">
        <w:rPr>
          <w:rFonts w:eastAsia="Calibri"/>
          <w:lang w:eastAsia="en-US"/>
        </w:rPr>
        <w:tab/>
        <w:t>No. Georgia Power’s recent solicitations have not been open to all sources that could address identified energy and capacity needs. For instance, in the recent capacity RFP, solar paired with storage could compete, but solar QFs not paired with storage were not eligible.</w:t>
      </w:r>
      <w:r w:rsidRPr="00F264FF">
        <w:rPr>
          <w:rFonts w:eastAsia="Calibri"/>
          <w:vertAlign w:val="superscript"/>
          <w:lang w:eastAsia="en-US"/>
        </w:rPr>
        <w:footnoteReference w:id="17"/>
      </w:r>
      <w:r w:rsidRPr="00F264FF">
        <w:rPr>
          <w:rFonts w:eastAsia="Calibri"/>
          <w:lang w:eastAsia="en-US"/>
        </w:rPr>
        <w:t xml:space="preserve"> </w:t>
      </w:r>
      <w:r w:rsidR="000E56D0">
        <w:rPr>
          <w:rFonts w:eastAsia="Calibri"/>
          <w:lang w:eastAsia="en-US"/>
        </w:rPr>
        <w:t>That RFP includes requirements that explicitly shut out solar QFs from providing the capacity that could offset the retirement of existing units, which is the intended purpose for any winning proposals</w:t>
      </w:r>
      <w:r w:rsidR="001D61C6">
        <w:rPr>
          <w:rFonts w:eastAsia="Calibri"/>
          <w:lang w:eastAsia="en-US"/>
        </w:rPr>
        <w:t xml:space="preserve">. </w:t>
      </w:r>
      <w:r w:rsidRPr="00F264FF">
        <w:rPr>
          <w:rFonts w:eastAsia="Calibri"/>
          <w:lang w:eastAsia="en-US"/>
        </w:rPr>
        <w:t>Further, while there have been a num</w:t>
      </w:r>
      <w:r w:rsidR="001D61C6">
        <w:rPr>
          <w:rFonts w:eastAsia="Calibri"/>
          <w:lang w:eastAsia="en-US"/>
        </w:rPr>
        <w:t>ber of requests for proposals (RFP</w:t>
      </w:r>
      <w:r w:rsidRPr="00F264FF">
        <w:rPr>
          <w:rFonts w:eastAsia="Calibri"/>
          <w:lang w:eastAsia="en-US"/>
        </w:rPr>
        <w:t xml:space="preserve">s) none have been explicitly open to all QFs, leaving the distinct </w:t>
      </w:r>
      <w:r w:rsidRPr="00F264FF">
        <w:rPr>
          <w:rFonts w:eastAsia="Calibri"/>
          <w:lang w:eastAsia="en-US"/>
        </w:rPr>
        <w:lastRenderedPageBreak/>
        <w:t>possibility that some potential QFs have been unable to meet the specific terms of the RFPs.</w:t>
      </w:r>
      <w:r w:rsidR="000E56D0">
        <w:rPr>
          <w:rFonts w:eastAsia="Calibri"/>
          <w:lang w:eastAsia="en-US"/>
        </w:rPr>
        <w:t xml:space="preserve"> As a result, some cost-saving opportunities may have been missed by these processes.</w:t>
      </w:r>
      <w:r w:rsidR="001D61C6">
        <w:rPr>
          <w:rStyle w:val="FootnoteReference"/>
          <w:rFonts w:eastAsia="Calibri"/>
          <w:lang w:eastAsia="en-US"/>
        </w:rPr>
        <w:footnoteReference w:id="18"/>
      </w:r>
      <w:r w:rsidRPr="00F264FF">
        <w:rPr>
          <w:rFonts w:eastAsia="Calibri"/>
          <w:lang w:eastAsia="en-US"/>
        </w:rPr>
        <w:t xml:space="preserve"> </w:t>
      </w:r>
    </w:p>
    <w:p w14:paraId="58CB73AF" w14:textId="77777777" w:rsidR="00F264FF" w:rsidRPr="00F264FF" w:rsidRDefault="00F264FF" w:rsidP="00F264FF">
      <w:pPr>
        <w:keepNext/>
        <w:widowControl w:val="0"/>
        <w:spacing w:line="480" w:lineRule="auto"/>
        <w:ind w:left="720" w:hanging="720"/>
        <w:jc w:val="both"/>
        <w:rPr>
          <w:b/>
        </w:rPr>
      </w:pPr>
      <w:r w:rsidRPr="00F264FF">
        <w:rPr>
          <w:b/>
        </w:rPr>
        <w:t>Q.</w:t>
      </w:r>
      <w:r w:rsidRPr="00F264FF">
        <w:rPr>
          <w:b/>
        </w:rPr>
        <w:tab/>
        <w:t>Have Georgia Power’s solicitations satisfied condition (8)</w:t>
      </w:r>
      <w:r w:rsidR="00DC1E0A">
        <w:rPr>
          <w:b/>
        </w:rPr>
        <w:t>(i)</w:t>
      </w:r>
      <w:r w:rsidRPr="00F264FF">
        <w:rPr>
          <w:b/>
        </w:rPr>
        <w:t>(C)?</w:t>
      </w:r>
    </w:p>
    <w:p w14:paraId="1021D3D3" w14:textId="77777777" w:rsidR="00F264FF" w:rsidRPr="00F264FF" w:rsidRDefault="00F264FF" w:rsidP="00F264FF">
      <w:pPr>
        <w:spacing w:line="480" w:lineRule="auto"/>
        <w:ind w:left="720" w:hanging="720"/>
        <w:jc w:val="both"/>
      </w:pPr>
      <w:r w:rsidRPr="00F264FF">
        <w:t>A.</w:t>
      </w:r>
      <w:r w:rsidRPr="00F264FF">
        <w:tab/>
      </w:r>
      <w:r>
        <w:t xml:space="preserve">While </w:t>
      </w:r>
      <w:r w:rsidRPr="00F264FF">
        <w:t xml:space="preserve">Georgia Power has </w:t>
      </w:r>
      <w:r>
        <w:t xml:space="preserve">in recent years </w:t>
      </w:r>
      <w:r w:rsidRPr="00F264FF">
        <w:t xml:space="preserve">solicited new </w:t>
      </w:r>
      <w:r>
        <w:t xml:space="preserve">renewable </w:t>
      </w:r>
      <w:r w:rsidRPr="00F264FF">
        <w:t xml:space="preserve">generation resources at fairly regular intervals, </w:t>
      </w:r>
      <w:r>
        <w:t xml:space="preserve">it </w:t>
      </w:r>
      <w:r w:rsidRPr="00F264FF">
        <w:t>has provided no assurances that it will continue to do so. If Georgia Power were to bring online a large amount of capacity or to decide in its next IRP that the appropriate generation technology to acquire as its next increment of generation is a large gas-fired combined cycle plant, past practice suggests that it would then not conduct regular solicitations that would satisfy condition (8)</w:t>
      </w:r>
      <w:r w:rsidR="00DC1E0A">
        <w:t>(i)</w:t>
      </w:r>
      <w:r w:rsidRPr="00F264FF">
        <w:t>(C).</w:t>
      </w:r>
    </w:p>
    <w:p w14:paraId="7CC7F18F" w14:textId="77777777" w:rsidR="00F264FF" w:rsidRPr="00F264FF" w:rsidRDefault="00F264FF" w:rsidP="00F264FF">
      <w:pPr>
        <w:spacing w:line="480" w:lineRule="auto"/>
        <w:ind w:left="720" w:hanging="720"/>
        <w:jc w:val="both"/>
        <w:rPr>
          <w:rFonts w:eastAsia="Calibri"/>
          <w:b/>
          <w:lang w:eastAsia="en-US"/>
        </w:rPr>
      </w:pPr>
      <w:r>
        <w:rPr>
          <w:rFonts w:eastAsia="Calibri"/>
          <w:b/>
          <w:lang w:eastAsia="en-US"/>
        </w:rPr>
        <w:t>Q.</w:t>
      </w:r>
      <w:r>
        <w:rPr>
          <w:rFonts w:eastAsia="Calibri"/>
          <w:b/>
          <w:lang w:eastAsia="en-US"/>
        </w:rPr>
        <w:tab/>
      </w:r>
      <w:r w:rsidRPr="00F264FF">
        <w:rPr>
          <w:rFonts w:eastAsia="Calibri"/>
          <w:b/>
          <w:lang w:eastAsia="en-US"/>
        </w:rPr>
        <w:t>Have Georgia Power’s solicitations satisfied condition (8)</w:t>
      </w:r>
      <w:r w:rsidR="00DC1E0A">
        <w:rPr>
          <w:rFonts w:eastAsia="Calibri"/>
          <w:b/>
          <w:lang w:eastAsia="en-US"/>
        </w:rPr>
        <w:t>(i)</w:t>
      </w:r>
      <w:r w:rsidRPr="00F264FF">
        <w:rPr>
          <w:rFonts w:eastAsia="Calibri"/>
          <w:b/>
          <w:lang w:eastAsia="en-US"/>
        </w:rPr>
        <w:t>(D)?</w:t>
      </w:r>
    </w:p>
    <w:p w14:paraId="67CAD912" w14:textId="77777777" w:rsidR="00743E2E" w:rsidRDefault="00F264FF" w:rsidP="00743E2E">
      <w:pPr>
        <w:spacing w:line="480" w:lineRule="auto"/>
        <w:ind w:left="720" w:hanging="720"/>
        <w:jc w:val="both"/>
        <w:rPr>
          <w:rFonts w:eastAsia="Calibri"/>
          <w:b/>
          <w:lang w:eastAsia="en-US"/>
        </w:rPr>
      </w:pPr>
      <w:r w:rsidRPr="00F264FF">
        <w:rPr>
          <w:rFonts w:eastAsia="Calibri"/>
          <w:lang w:eastAsia="en-US"/>
        </w:rPr>
        <w:t>A.</w:t>
      </w:r>
      <w:r w:rsidRPr="00F264FF">
        <w:rPr>
          <w:rFonts w:eastAsia="Calibri"/>
          <w:lang w:eastAsia="en-US"/>
        </w:rPr>
        <w:tab/>
      </w:r>
      <w:r w:rsidR="007A1B45">
        <w:rPr>
          <w:rFonts w:eastAsia="Calibri"/>
          <w:lang w:eastAsia="en-US"/>
        </w:rPr>
        <w:t>That is unclear</w:t>
      </w:r>
      <w:r w:rsidRPr="00F264FF">
        <w:rPr>
          <w:rFonts w:eastAsia="Calibri"/>
          <w:lang w:eastAsia="en-US"/>
        </w:rPr>
        <w:t>. Condition (8)</w:t>
      </w:r>
      <w:r w:rsidR="00DC1E0A">
        <w:rPr>
          <w:rFonts w:eastAsia="Calibri"/>
          <w:lang w:eastAsia="en-US"/>
        </w:rPr>
        <w:t>(i)</w:t>
      </w:r>
      <w:r w:rsidRPr="00F264FF">
        <w:rPr>
          <w:rFonts w:eastAsia="Calibri"/>
          <w:lang w:eastAsia="en-US"/>
        </w:rPr>
        <w:t>(D) provides that the solicitation “be subject to oversight by an independent administrator”. In Order 872, the Commission further explains that Section</w:t>
      </w:r>
      <w:r w:rsidR="00C42C92">
        <w:rPr>
          <w:rFonts w:eastAsia="Calibri"/>
          <w:lang w:eastAsia="en-US"/>
        </w:rPr>
        <w:t> </w:t>
      </w:r>
      <w:r w:rsidRPr="00F264FF">
        <w:rPr>
          <w:rFonts w:eastAsia="Calibri"/>
          <w:lang w:eastAsia="en-US"/>
        </w:rPr>
        <w:t xml:space="preserve">(8) provision provides for application of its </w:t>
      </w:r>
      <w:r w:rsidRPr="00F264FF">
        <w:rPr>
          <w:rFonts w:eastAsia="Calibri"/>
          <w:i/>
          <w:iCs/>
          <w:lang w:eastAsia="en-US"/>
        </w:rPr>
        <w:t>Allegheny</w:t>
      </w:r>
      <w:r w:rsidRPr="00F264FF">
        <w:rPr>
          <w:rFonts w:eastAsia="Calibri"/>
          <w:lang w:eastAsia="en-US"/>
        </w:rPr>
        <w:t xml:space="preserve"> standards which include that the requirement for oversight is “a requirement that an independent third party design the solicitation, administer bidding, and evaluate bids prior to selection.”</w:t>
      </w:r>
      <w:r w:rsidRPr="00F264FF">
        <w:rPr>
          <w:rFonts w:eastAsia="Calibri"/>
          <w:vertAlign w:val="superscript"/>
          <w:lang w:eastAsia="en-US"/>
        </w:rPr>
        <w:footnoteReference w:id="19"/>
      </w:r>
      <w:r w:rsidRPr="00F264FF">
        <w:rPr>
          <w:rFonts w:eastAsia="Calibri"/>
          <w:lang w:eastAsia="en-US"/>
        </w:rPr>
        <w:t xml:space="preserve"> It’s not clear whether the Independent Evaluator in Georgia Power’s solicitations meets the definition of independent administrator contemplated by FERC. </w:t>
      </w:r>
    </w:p>
    <w:p w14:paraId="749BBDE6" w14:textId="243D8959" w:rsidR="00F264FF" w:rsidRPr="00743E2E" w:rsidRDefault="00F264FF" w:rsidP="00743E2E">
      <w:pPr>
        <w:spacing w:line="480" w:lineRule="auto"/>
        <w:ind w:left="720" w:hanging="720"/>
        <w:jc w:val="both"/>
        <w:rPr>
          <w:rFonts w:eastAsia="Calibri"/>
          <w:lang w:eastAsia="en-US"/>
        </w:rPr>
      </w:pPr>
      <w:r w:rsidRPr="00F264FF">
        <w:rPr>
          <w:rFonts w:eastAsia="Calibri"/>
          <w:b/>
          <w:lang w:eastAsia="en-US"/>
        </w:rPr>
        <w:t>Q.</w:t>
      </w:r>
      <w:r w:rsidRPr="00F264FF">
        <w:rPr>
          <w:rFonts w:eastAsia="Calibri"/>
          <w:b/>
          <w:lang w:eastAsia="en-US"/>
        </w:rPr>
        <w:tab/>
        <w:t>Have Georgia Power’s solicitations satisfied condition (8</w:t>
      </w:r>
      <w:proofErr w:type="gramStart"/>
      <w:r w:rsidRPr="00F264FF">
        <w:rPr>
          <w:rFonts w:eastAsia="Calibri"/>
          <w:b/>
          <w:lang w:eastAsia="en-US"/>
        </w:rPr>
        <w:t>)</w:t>
      </w:r>
      <w:r w:rsidR="00DC1E0A">
        <w:rPr>
          <w:rFonts w:eastAsia="Calibri"/>
          <w:b/>
          <w:lang w:eastAsia="en-US"/>
        </w:rPr>
        <w:t>(</w:t>
      </w:r>
      <w:proofErr w:type="gramEnd"/>
      <w:r w:rsidR="00DC1E0A">
        <w:rPr>
          <w:rFonts w:eastAsia="Calibri"/>
          <w:b/>
          <w:lang w:eastAsia="en-US"/>
        </w:rPr>
        <w:t>i)</w:t>
      </w:r>
      <w:r w:rsidRPr="00F264FF">
        <w:rPr>
          <w:rFonts w:eastAsia="Calibri"/>
          <w:b/>
          <w:lang w:eastAsia="en-US"/>
        </w:rPr>
        <w:t>(E)?</w:t>
      </w:r>
    </w:p>
    <w:p w14:paraId="15D11CA4" w14:textId="77777777" w:rsidR="00F264FF" w:rsidRPr="00F264FF" w:rsidRDefault="00F264FF" w:rsidP="00F264FF">
      <w:pPr>
        <w:spacing w:line="480" w:lineRule="auto"/>
        <w:ind w:left="720" w:hanging="720"/>
        <w:jc w:val="both"/>
        <w:rPr>
          <w:rFonts w:eastAsia="Calibri"/>
          <w:lang w:eastAsia="en-US"/>
        </w:rPr>
      </w:pPr>
      <w:r w:rsidRPr="00F264FF">
        <w:rPr>
          <w:rFonts w:eastAsia="Calibri"/>
          <w:lang w:eastAsia="en-US"/>
        </w:rPr>
        <w:t>A.</w:t>
      </w:r>
      <w:r w:rsidRPr="00F264FF">
        <w:rPr>
          <w:rFonts w:eastAsia="Calibri"/>
          <w:lang w:eastAsia="en-US"/>
        </w:rPr>
        <w:tab/>
        <w:t xml:space="preserve">No, though that practice was not expected of the Commission under the PURPA rules prior to Order 872. </w:t>
      </w:r>
    </w:p>
    <w:p w14:paraId="12446B44" w14:textId="77777777" w:rsidR="00F264FF" w:rsidRPr="00F264FF" w:rsidRDefault="00F264FF" w:rsidP="00F264FF">
      <w:pPr>
        <w:spacing w:line="480" w:lineRule="auto"/>
        <w:ind w:left="720" w:hanging="720"/>
        <w:jc w:val="both"/>
        <w:rPr>
          <w:rFonts w:eastAsia="Calibri"/>
          <w:b/>
          <w:lang w:eastAsia="en-US"/>
        </w:rPr>
      </w:pPr>
      <w:r w:rsidRPr="00F264FF">
        <w:rPr>
          <w:rFonts w:eastAsia="Calibri"/>
          <w:b/>
          <w:lang w:eastAsia="en-US"/>
        </w:rPr>
        <w:lastRenderedPageBreak/>
        <w:t>Q.</w:t>
      </w:r>
      <w:r w:rsidRPr="00F264FF">
        <w:rPr>
          <w:rFonts w:eastAsia="Calibri"/>
          <w:b/>
          <w:lang w:eastAsia="en-US"/>
        </w:rPr>
        <w:tab/>
        <w:t>In summary, have Georgia Power’s solicitations satisfied the FERC’s standards to be used to determine avoided costs?</w:t>
      </w:r>
    </w:p>
    <w:p w14:paraId="65D3BF35" w14:textId="77777777" w:rsidR="00F264FF" w:rsidRPr="00F264FF" w:rsidRDefault="00F264FF" w:rsidP="00F264FF">
      <w:pPr>
        <w:spacing w:line="480" w:lineRule="auto"/>
        <w:ind w:left="720" w:hanging="720"/>
        <w:jc w:val="both"/>
        <w:rPr>
          <w:rFonts w:eastAsia="Calibri"/>
          <w:lang w:eastAsia="en-US"/>
        </w:rPr>
      </w:pPr>
      <w:r w:rsidRPr="00F264FF">
        <w:rPr>
          <w:rFonts w:eastAsia="Calibri"/>
          <w:lang w:eastAsia="en-US"/>
        </w:rPr>
        <w:t>A.</w:t>
      </w:r>
      <w:r w:rsidRPr="00F264FF">
        <w:rPr>
          <w:rFonts w:eastAsia="Calibri"/>
          <w:lang w:eastAsia="en-US"/>
        </w:rPr>
        <w:tab/>
        <w:t xml:space="preserve">No, they have not. </w:t>
      </w:r>
    </w:p>
    <w:p w14:paraId="075B343E" w14:textId="77777777" w:rsidR="00F264FF" w:rsidRPr="00F264FF" w:rsidRDefault="00F264FF" w:rsidP="00F264FF">
      <w:pPr>
        <w:keepNext/>
        <w:widowControl w:val="0"/>
        <w:spacing w:line="480" w:lineRule="auto"/>
        <w:ind w:left="720" w:hanging="720"/>
        <w:jc w:val="both"/>
        <w:rPr>
          <w:b/>
        </w:rPr>
      </w:pPr>
      <w:r w:rsidRPr="00F264FF">
        <w:rPr>
          <w:b/>
        </w:rPr>
        <w:t>Q.</w:t>
      </w:r>
      <w:r w:rsidRPr="00F264FF">
        <w:rPr>
          <w:b/>
        </w:rPr>
        <w:tab/>
        <w:t xml:space="preserve">Given that Georgia Power has not proposed to determine avoided costs based on its competitive solicitations, </w:t>
      </w:r>
      <w:r>
        <w:rPr>
          <w:b/>
        </w:rPr>
        <w:t>its</w:t>
      </w:r>
      <w:r w:rsidRPr="00F264FF">
        <w:rPr>
          <w:b/>
        </w:rPr>
        <w:t xml:space="preserve"> competitive solicitations have not met the FERC conditions to establish a presumption that Georgia Power has no capacity need, and that Georgia Power’s competitive solicitations do not meet the FERC’s standards to determine avoided costs, what is the relevance of Georgia Power’s competitive solicitations in this case?</w:t>
      </w:r>
    </w:p>
    <w:p w14:paraId="2F009281" w14:textId="12A08D9E" w:rsidR="00743E2E" w:rsidRPr="00743E2E" w:rsidRDefault="00F264FF" w:rsidP="00743E2E">
      <w:pPr>
        <w:spacing w:line="480" w:lineRule="auto"/>
        <w:ind w:left="720" w:hanging="720"/>
        <w:jc w:val="both"/>
      </w:pPr>
      <w:r w:rsidRPr="00F264FF">
        <w:t>A.</w:t>
      </w:r>
      <w:r w:rsidRPr="00F264FF">
        <w:tab/>
      </w:r>
      <w:r w:rsidR="003B3CFA">
        <w:t>W</w:t>
      </w:r>
      <w:r w:rsidR="00B6193B">
        <w:t>hile we fully support the IRP programs touted by Georgia Power, w</w:t>
      </w:r>
      <w:r w:rsidRPr="00F264FF">
        <w:t xml:space="preserve">e do not see that those solicitations have any bearing on </w:t>
      </w:r>
      <w:r w:rsidR="00B6193B">
        <w:t xml:space="preserve">Georgia Power’s compliance with PURPA in </w:t>
      </w:r>
      <w:r w:rsidRPr="00F264FF">
        <w:t>this case. The main purpose of this proceeding is to consider improvements to the Company’s avoided cost methodologies as they are used to determine the amount of compensation paid to QFs</w:t>
      </w:r>
      <w:r w:rsidR="003B3CFA">
        <w:t xml:space="preserve"> outside of those solici</w:t>
      </w:r>
      <w:r w:rsidR="009C7B25">
        <w:t>t</w:t>
      </w:r>
      <w:r w:rsidR="003B3CFA">
        <w:t>ations</w:t>
      </w:r>
      <w:r w:rsidRPr="00F264FF">
        <w:t>. While those methodologies establish a benchmark against which competitive bids are judged, the results of competitive bidding have no bearing on the soundness of those methodologies in determining appropriate rates for particip</w:t>
      </w:r>
      <w:r w:rsidR="003B3CFA">
        <w:t xml:space="preserve">ants in the standard offerings – both the standard offer contracts and the </w:t>
      </w:r>
      <w:r w:rsidR="00EC7B1D">
        <w:t xml:space="preserve">RNR tariff. </w:t>
      </w:r>
      <w:r w:rsidR="00B926E7">
        <w:t xml:space="preserve">And again, Georgia Power does not propose that competitive solicitations serve as the exclusive vehicle for PURPA compliance, nor does the Company make any commitment to continue competitive solicitations for renewable resources on a going forward basis. </w:t>
      </w:r>
      <w:r w:rsidR="00743E2E">
        <w:rPr>
          <w:rFonts w:eastAsia="Calibri"/>
          <w:b/>
          <w:lang w:eastAsia="en-US"/>
        </w:rPr>
        <w:br w:type="page"/>
      </w:r>
    </w:p>
    <w:p w14:paraId="1BE960C1" w14:textId="01DA4E75" w:rsidR="007F74AB" w:rsidRPr="00F621ED" w:rsidRDefault="007F74AB" w:rsidP="00C2292D">
      <w:pPr>
        <w:spacing w:line="480" w:lineRule="auto"/>
        <w:ind w:left="720" w:hanging="720"/>
        <w:jc w:val="both"/>
        <w:rPr>
          <w:rFonts w:eastAsia="Calibri"/>
          <w:b/>
          <w:lang w:eastAsia="en-US"/>
        </w:rPr>
      </w:pPr>
      <w:r w:rsidRPr="008A1C44">
        <w:rPr>
          <w:rFonts w:eastAsia="Calibri"/>
          <w:b/>
          <w:lang w:eastAsia="en-US"/>
        </w:rPr>
        <w:lastRenderedPageBreak/>
        <w:t>Q.</w:t>
      </w:r>
      <w:r w:rsidRPr="008A1C44">
        <w:rPr>
          <w:rFonts w:eastAsia="Calibri"/>
          <w:b/>
          <w:lang w:eastAsia="en-US"/>
        </w:rPr>
        <w:tab/>
      </w:r>
      <w:r w:rsidR="003B3CFA">
        <w:rPr>
          <w:rFonts w:eastAsia="Calibri"/>
          <w:b/>
          <w:lang w:eastAsia="en-US"/>
        </w:rPr>
        <w:t>Have the IRP-approved competitive programs encouraged the development of QFs of all sizes</w:t>
      </w:r>
      <w:r w:rsidRPr="00F621ED">
        <w:rPr>
          <w:rFonts w:eastAsia="Calibri"/>
          <w:b/>
          <w:lang w:eastAsia="en-US"/>
        </w:rPr>
        <w:t xml:space="preserve">? </w:t>
      </w:r>
    </w:p>
    <w:p w14:paraId="633192B2" w14:textId="77777777" w:rsidR="007D7D68" w:rsidRDefault="007F74AB" w:rsidP="00C2292D">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No. </w:t>
      </w:r>
      <w:r w:rsidR="003B3CFA">
        <w:rPr>
          <w:rFonts w:eastAsia="Calibri"/>
          <w:lang w:eastAsia="en-US"/>
        </w:rPr>
        <w:t>The</w:t>
      </w:r>
      <w:r w:rsidR="007D7D68">
        <w:rPr>
          <w:rFonts w:eastAsia="Calibri"/>
          <w:lang w:eastAsia="en-US"/>
        </w:rPr>
        <w:t xml:space="preserve"> IRP-initiated competitive solicitations </w:t>
      </w:r>
      <w:r w:rsidR="003B3CFA">
        <w:rPr>
          <w:rFonts w:eastAsia="Calibri"/>
          <w:lang w:eastAsia="en-US"/>
        </w:rPr>
        <w:t xml:space="preserve">have </w:t>
      </w:r>
      <w:r w:rsidR="007D7D68">
        <w:rPr>
          <w:rFonts w:eastAsia="Calibri"/>
          <w:lang w:eastAsia="en-US"/>
        </w:rPr>
        <w:t>provide</w:t>
      </w:r>
      <w:r w:rsidR="003B3CFA">
        <w:rPr>
          <w:rFonts w:eastAsia="Calibri"/>
          <w:lang w:eastAsia="en-US"/>
        </w:rPr>
        <w:t>d</w:t>
      </w:r>
      <w:r w:rsidR="007D7D68">
        <w:rPr>
          <w:rFonts w:eastAsia="Calibri"/>
          <w:lang w:eastAsia="en-US"/>
        </w:rPr>
        <w:t xml:space="preserve"> limited opportunities for smaller QFs</w:t>
      </w:r>
      <w:r w:rsidR="00B926E7">
        <w:rPr>
          <w:rFonts w:eastAsia="Calibri"/>
          <w:lang w:eastAsia="en-US"/>
        </w:rPr>
        <w:t xml:space="preserve"> (1 MW or less)</w:t>
      </w:r>
      <w:r w:rsidR="007D7D68">
        <w:rPr>
          <w:rFonts w:eastAsia="Calibri"/>
          <w:lang w:eastAsia="en-US"/>
        </w:rPr>
        <w:t xml:space="preserve">. For the large-scale programs, </w:t>
      </w:r>
      <w:r w:rsidR="007A1B45">
        <w:rPr>
          <w:rFonts w:eastAsia="Calibri"/>
          <w:lang w:eastAsia="en-US"/>
        </w:rPr>
        <w:t xml:space="preserve">much </w:t>
      </w:r>
      <w:r w:rsidR="007D7D68">
        <w:rPr>
          <w:rFonts w:eastAsia="Calibri"/>
          <w:lang w:eastAsia="en-US"/>
        </w:rPr>
        <w:t xml:space="preserve">larger projects </w:t>
      </w:r>
      <w:r w:rsidR="00262426">
        <w:rPr>
          <w:rFonts w:eastAsia="Calibri"/>
          <w:lang w:eastAsia="en-US"/>
        </w:rPr>
        <w:t xml:space="preserve">tend to succeed by benefiting from economies of scale. </w:t>
      </w:r>
      <w:r w:rsidR="00262426" w:rsidRPr="00262426">
        <w:rPr>
          <w:rFonts w:eastAsia="Calibri"/>
          <w:lang w:eastAsia="en-US"/>
        </w:rPr>
        <w:t xml:space="preserve">As a result, smaller QFs are often left with </w:t>
      </w:r>
      <w:r w:rsidR="00262426">
        <w:rPr>
          <w:rFonts w:eastAsia="Calibri"/>
          <w:lang w:eastAsia="en-US"/>
        </w:rPr>
        <w:t xml:space="preserve">just </w:t>
      </w:r>
      <w:r w:rsidR="003B3CFA">
        <w:rPr>
          <w:rFonts w:eastAsia="Calibri"/>
          <w:lang w:eastAsia="en-US"/>
        </w:rPr>
        <w:t xml:space="preserve">two </w:t>
      </w:r>
      <w:r w:rsidR="00262426" w:rsidRPr="00262426">
        <w:rPr>
          <w:rFonts w:eastAsia="Calibri"/>
          <w:lang w:eastAsia="en-US"/>
        </w:rPr>
        <w:t>option</w:t>
      </w:r>
      <w:r w:rsidR="003B3CFA">
        <w:rPr>
          <w:rFonts w:eastAsia="Calibri"/>
          <w:lang w:eastAsia="en-US"/>
        </w:rPr>
        <w:t>s</w:t>
      </w:r>
      <w:r w:rsidR="00262426" w:rsidRPr="00262426">
        <w:rPr>
          <w:rFonts w:eastAsia="Calibri"/>
          <w:lang w:eastAsia="en-US"/>
        </w:rPr>
        <w:t>: the energy-only standard offer contract</w:t>
      </w:r>
      <w:r w:rsidR="003B3CFA">
        <w:rPr>
          <w:rFonts w:eastAsia="Calibri"/>
          <w:lang w:eastAsia="en-US"/>
        </w:rPr>
        <w:t xml:space="preserve"> or the RNR tariff</w:t>
      </w:r>
      <w:r w:rsidR="00262426" w:rsidRPr="00262426">
        <w:rPr>
          <w:rFonts w:eastAsia="Calibri"/>
          <w:lang w:eastAsia="en-US"/>
        </w:rPr>
        <w:t xml:space="preserve">.  </w:t>
      </w:r>
    </w:p>
    <w:p w14:paraId="7919F283" w14:textId="7DB270AD" w:rsidR="00DC1888" w:rsidRPr="00DC1888" w:rsidRDefault="007D7D68" w:rsidP="00DC1888">
      <w:pPr>
        <w:spacing w:after="120" w:line="480" w:lineRule="auto"/>
        <w:ind w:left="720" w:hanging="720"/>
        <w:jc w:val="both"/>
        <w:rPr>
          <w:rFonts w:eastAsia="Calibri"/>
          <w:lang w:eastAsia="en-US"/>
        </w:rPr>
      </w:pPr>
      <w:r>
        <w:rPr>
          <w:rFonts w:eastAsia="Calibri"/>
          <w:lang w:eastAsia="en-US"/>
        </w:rPr>
        <w:tab/>
      </w:r>
      <w:r w:rsidR="003B3CFA">
        <w:rPr>
          <w:rFonts w:eastAsia="Calibri"/>
          <w:lang w:eastAsia="en-US"/>
        </w:rPr>
        <w:t>Smaller QFs have fared poorly</w:t>
      </w:r>
      <w:r>
        <w:rPr>
          <w:rFonts w:eastAsia="Calibri"/>
          <w:lang w:eastAsia="en-US"/>
        </w:rPr>
        <w:t xml:space="preserve"> </w:t>
      </w:r>
      <w:r w:rsidR="00B926E7">
        <w:rPr>
          <w:rFonts w:eastAsia="Calibri"/>
          <w:lang w:eastAsia="en-US"/>
        </w:rPr>
        <w:t xml:space="preserve">even </w:t>
      </w:r>
      <w:r w:rsidR="003B3CFA">
        <w:rPr>
          <w:rFonts w:eastAsia="Calibri"/>
          <w:lang w:eastAsia="en-US"/>
        </w:rPr>
        <w:t xml:space="preserve">in competitive solicitations </w:t>
      </w:r>
      <w:r w:rsidR="00B926E7">
        <w:rPr>
          <w:rFonts w:eastAsia="Calibri"/>
          <w:lang w:eastAsia="en-US"/>
        </w:rPr>
        <w:t xml:space="preserve">designed especially for them, such as the REDI program for projects sized from 1 kW to 3 MW. </w:t>
      </w:r>
      <w:r w:rsidR="003B3CFA">
        <w:rPr>
          <w:rFonts w:eastAsia="Calibri"/>
          <w:lang w:eastAsia="en-US"/>
        </w:rPr>
        <w:t>Such</w:t>
      </w:r>
      <w:r>
        <w:rPr>
          <w:rFonts w:eastAsia="Calibri"/>
          <w:lang w:eastAsia="en-US"/>
        </w:rPr>
        <w:t xml:space="preserve"> DG programs </w:t>
      </w:r>
      <w:r w:rsidR="003B3CFA">
        <w:rPr>
          <w:rFonts w:eastAsia="Calibri"/>
          <w:lang w:eastAsia="en-US"/>
        </w:rPr>
        <w:t>have been</w:t>
      </w:r>
      <w:r>
        <w:rPr>
          <w:rFonts w:eastAsia="Calibri"/>
          <w:lang w:eastAsia="en-US"/>
        </w:rPr>
        <w:t xml:space="preserve"> filled with projects </w:t>
      </w:r>
      <w:r w:rsidR="00AD08A5">
        <w:rPr>
          <w:rFonts w:eastAsia="Calibri"/>
          <w:lang w:eastAsia="en-US"/>
        </w:rPr>
        <w:t>between 1 MW and 3 MW in size</w:t>
      </w:r>
      <w:r>
        <w:rPr>
          <w:rFonts w:eastAsia="Calibri"/>
          <w:lang w:eastAsia="en-US"/>
        </w:rPr>
        <w:t xml:space="preserve">, leaving few, if any, opportunities for </w:t>
      </w:r>
      <w:r w:rsidR="00D6700B">
        <w:rPr>
          <w:rFonts w:eastAsia="Calibri"/>
          <w:lang w:eastAsia="en-US"/>
        </w:rPr>
        <w:t xml:space="preserve">smaller </w:t>
      </w:r>
      <w:r>
        <w:rPr>
          <w:rFonts w:eastAsia="Calibri"/>
          <w:lang w:eastAsia="en-US"/>
        </w:rPr>
        <w:t>QFs</w:t>
      </w:r>
      <w:r w:rsidR="00F22F7A">
        <w:rPr>
          <w:rFonts w:eastAsia="Calibri"/>
          <w:lang w:eastAsia="en-US"/>
        </w:rPr>
        <w:t xml:space="preserve">, including those </w:t>
      </w:r>
      <w:r w:rsidR="003B3CFA">
        <w:rPr>
          <w:rFonts w:eastAsia="Calibri"/>
          <w:lang w:eastAsia="en-US"/>
        </w:rPr>
        <w:t xml:space="preserve">exceeding the size limitations </w:t>
      </w:r>
      <w:r w:rsidR="00F22F7A">
        <w:rPr>
          <w:rFonts w:eastAsia="Calibri"/>
          <w:lang w:eastAsia="en-US"/>
        </w:rPr>
        <w:t xml:space="preserve">of </w:t>
      </w:r>
      <w:r w:rsidR="003B3CFA">
        <w:rPr>
          <w:rFonts w:eastAsia="Calibri"/>
          <w:lang w:eastAsia="en-US"/>
        </w:rPr>
        <w:t>the RNR tariff (10 kW residential and 250 kW commercial)</w:t>
      </w:r>
      <w:r>
        <w:rPr>
          <w:rFonts w:eastAsia="Calibri"/>
          <w:lang w:eastAsia="en-US"/>
        </w:rPr>
        <w:t xml:space="preserve">. </w:t>
      </w:r>
      <w:r w:rsidR="00F22F7A">
        <w:rPr>
          <w:rFonts w:eastAsia="Calibri"/>
          <w:lang w:eastAsia="en-US"/>
        </w:rPr>
        <w:t xml:space="preserve">This means that many valuable projects suitable for rooftops and other customer-sited installations – projects that could do much to avoid expensive transmission and distribution investments – have no viable path outside of the standard offer contract. </w:t>
      </w:r>
      <w:r>
        <w:rPr>
          <w:rFonts w:eastAsia="Calibri"/>
          <w:lang w:eastAsia="en-US"/>
        </w:rPr>
        <w:t>And</w:t>
      </w:r>
      <w:r w:rsidR="003B3CFA">
        <w:rPr>
          <w:rFonts w:eastAsia="Calibri"/>
          <w:lang w:eastAsia="en-US"/>
        </w:rPr>
        <w:t xml:space="preserve"> of course</w:t>
      </w:r>
      <w:r>
        <w:rPr>
          <w:rFonts w:eastAsia="Calibri"/>
          <w:lang w:eastAsia="en-US"/>
        </w:rPr>
        <w:t>, there’s no certainty th</w:t>
      </w:r>
      <w:r w:rsidR="00F22F7A">
        <w:rPr>
          <w:rFonts w:eastAsia="Calibri"/>
          <w:lang w:eastAsia="en-US"/>
        </w:rPr>
        <w:t xml:space="preserve">at </w:t>
      </w:r>
      <w:r>
        <w:rPr>
          <w:rFonts w:eastAsia="Calibri"/>
          <w:lang w:eastAsia="en-US"/>
        </w:rPr>
        <w:t>DG programs will continue</w:t>
      </w:r>
      <w:r w:rsidR="00F22F7A">
        <w:rPr>
          <w:rFonts w:eastAsia="Calibri"/>
          <w:lang w:eastAsia="en-US"/>
        </w:rPr>
        <w:t xml:space="preserve"> to result from IRPs</w:t>
      </w:r>
      <w:r>
        <w:rPr>
          <w:rFonts w:eastAsia="Calibri"/>
          <w:lang w:eastAsia="en-US"/>
        </w:rPr>
        <w:t xml:space="preserve">. Georgia Power did not propose a DG allotment </w:t>
      </w:r>
      <w:r w:rsidR="00F22F7A">
        <w:rPr>
          <w:rFonts w:eastAsia="Calibri"/>
          <w:lang w:eastAsia="en-US"/>
        </w:rPr>
        <w:t xml:space="preserve">going </w:t>
      </w:r>
      <w:r>
        <w:rPr>
          <w:rFonts w:eastAsia="Calibri"/>
          <w:lang w:eastAsia="en-US"/>
        </w:rPr>
        <w:t>in</w:t>
      </w:r>
      <w:r w:rsidR="00F22F7A">
        <w:rPr>
          <w:rFonts w:eastAsia="Calibri"/>
          <w:lang w:eastAsia="en-US"/>
        </w:rPr>
        <w:t>to</w:t>
      </w:r>
      <w:r>
        <w:rPr>
          <w:rFonts w:eastAsia="Calibri"/>
          <w:lang w:eastAsia="en-US"/>
        </w:rPr>
        <w:t xml:space="preserve"> the 2019 IRP</w:t>
      </w:r>
      <w:r w:rsidR="00F22F7A">
        <w:rPr>
          <w:rFonts w:eastAsia="Calibri"/>
          <w:lang w:eastAsia="en-US"/>
        </w:rPr>
        <w:t xml:space="preserve"> – one </w:t>
      </w:r>
      <w:r>
        <w:rPr>
          <w:rFonts w:eastAsia="Calibri"/>
          <w:lang w:eastAsia="en-US"/>
        </w:rPr>
        <w:t xml:space="preserve">was instead </w:t>
      </w:r>
      <w:r w:rsidR="000B6F9D">
        <w:rPr>
          <w:rFonts w:eastAsia="Calibri"/>
          <w:lang w:eastAsia="en-US"/>
        </w:rPr>
        <w:t xml:space="preserve">ordered by </w:t>
      </w:r>
      <w:r>
        <w:rPr>
          <w:rFonts w:eastAsia="Calibri"/>
          <w:lang w:eastAsia="en-US"/>
        </w:rPr>
        <w:t>the Commission</w:t>
      </w:r>
      <w:r w:rsidR="00F22F7A">
        <w:rPr>
          <w:rFonts w:eastAsia="Calibri"/>
          <w:lang w:eastAsia="en-US"/>
        </w:rPr>
        <w:t xml:space="preserve">. </w:t>
      </w:r>
      <w:r w:rsidR="00262426">
        <w:rPr>
          <w:rFonts w:eastAsia="Calibri"/>
          <w:lang w:eastAsia="en-US"/>
        </w:rPr>
        <w:t xml:space="preserve"> </w:t>
      </w:r>
      <w:bookmarkStart w:id="19" w:name="_Toc57906647"/>
    </w:p>
    <w:p w14:paraId="3FB0AF8D" w14:textId="2E93D9DE" w:rsidR="0077081C" w:rsidRPr="00E6242A" w:rsidRDefault="0066462C" w:rsidP="00633B83">
      <w:pPr>
        <w:pStyle w:val="OutlineL1"/>
        <w:numPr>
          <w:ilvl w:val="0"/>
          <w:numId w:val="72"/>
        </w:numPr>
        <w:spacing w:before="240" w:after="240" w:line="360" w:lineRule="auto"/>
      </w:pPr>
      <w:r w:rsidRPr="00E6242A">
        <w:t xml:space="preserve">GEORGIA POWER’S </w:t>
      </w:r>
      <w:r w:rsidR="00BB164E" w:rsidRPr="00E6242A">
        <w:t xml:space="preserve">STANDARD </w:t>
      </w:r>
      <w:r w:rsidRPr="00E6242A">
        <w:t xml:space="preserve">PURPA OFFERINGS FAIL TO </w:t>
      </w:r>
      <w:r w:rsidR="002368C1" w:rsidRPr="00E6242A">
        <w:br/>
      </w:r>
      <w:r w:rsidRPr="00E6242A">
        <w:t>COMPENSATE SOLAR QFS FOR CAPACITY THAT THEY PROVIDE</w:t>
      </w:r>
      <w:bookmarkEnd w:id="19"/>
    </w:p>
    <w:p w14:paraId="784B9540" w14:textId="2228F9B2" w:rsidR="00394494" w:rsidRDefault="00394494" w:rsidP="00394494">
      <w:pPr>
        <w:keepNext/>
        <w:widowControl w:val="0"/>
        <w:spacing w:line="480" w:lineRule="auto"/>
        <w:ind w:left="720" w:hanging="720"/>
        <w:rPr>
          <w:b/>
        </w:rPr>
      </w:pPr>
      <w:r>
        <w:rPr>
          <w:b/>
        </w:rPr>
        <w:t>Q.</w:t>
      </w:r>
      <w:r>
        <w:rPr>
          <w:b/>
        </w:rPr>
        <w:tab/>
        <w:t>Are Georgia Power’s standard offer contracts non-discriminatory with respect to all qualifying facilities?</w:t>
      </w:r>
    </w:p>
    <w:p w14:paraId="06A9C113" w14:textId="77777777" w:rsidR="00394494" w:rsidRDefault="00394494" w:rsidP="00394494">
      <w:pPr>
        <w:spacing w:line="480" w:lineRule="auto"/>
        <w:ind w:left="720" w:hanging="720"/>
        <w:jc w:val="both"/>
      </w:pPr>
      <w:r>
        <w:t>A.</w:t>
      </w:r>
      <w:r>
        <w:tab/>
        <w:t xml:space="preserve"> No. QFs </w:t>
      </w:r>
      <w:r w:rsidR="00494470">
        <w:t xml:space="preserve">desiring to </w:t>
      </w:r>
      <w:r>
        <w:t xml:space="preserve">establish a legally enforceable obligation to sell power to Georgia Power </w:t>
      </w:r>
      <w:r w:rsidR="00494470">
        <w:t xml:space="preserve">outside of the RNR tariff </w:t>
      </w:r>
      <w:r>
        <w:t xml:space="preserve">have available to them three standard offer contract forms: (1) the Standard QF Energy-Only Contract; (2) the Standard QF Capacity and Energy </w:t>
      </w:r>
      <w:r>
        <w:lastRenderedPageBreak/>
        <w:t>Contract; and (3) the QF Proxy Contract.</w:t>
      </w:r>
      <w:r>
        <w:rPr>
          <w:rStyle w:val="FootnoteReference"/>
        </w:rPr>
        <w:footnoteReference w:id="20"/>
      </w:r>
      <w:r>
        <w:t xml:space="preserve"> Although Georgia Power </w:t>
      </w:r>
      <w:r w:rsidR="00BB164E">
        <w:t xml:space="preserve">proposes </w:t>
      </w:r>
      <w:r>
        <w:t xml:space="preserve">to modify the terms of these contracts, </w:t>
      </w:r>
      <w:r w:rsidR="007A1B45">
        <w:t xml:space="preserve">it </w:t>
      </w:r>
      <w:r>
        <w:t>do</w:t>
      </w:r>
      <w:r w:rsidR="007A1B45">
        <w:t>es</w:t>
      </w:r>
      <w:r>
        <w:t xml:space="preserve"> not propose </w:t>
      </w:r>
      <w:r w:rsidR="00BB164E">
        <w:t>any new contract offerings</w:t>
      </w:r>
      <w:r>
        <w:t xml:space="preserve">. </w:t>
      </w:r>
      <w:r w:rsidR="00BB164E" w:rsidRPr="007A1B45">
        <w:rPr>
          <w:bCs/>
          <w:u w:val="single"/>
        </w:rPr>
        <w:t>None of the three standard offer contracts provide an ability for solar QFs to receive capacity credit.</w:t>
      </w:r>
      <w:r w:rsidR="00BB164E">
        <w:t xml:space="preserve"> </w:t>
      </w:r>
      <w:r>
        <w:t>The terms of the existing and proposed Standard QF Capacity and Energy Contract and the QF Proxy Contract effectively exclude solar generation from eligibility and thus, preclude solar QFs from receiving credit for capacity</w:t>
      </w:r>
      <w:r w:rsidR="008A57AC">
        <w:t xml:space="preserve"> </w:t>
      </w:r>
      <w:r w:rsidR="00BB164E">
        <w:t>through those means</w:t>
      </w:r>
      <w:r>
        <w:t>. The Standard QF Energy-Only Contract is</w:t>
      </w:r>
      <w:r w:rsidR="00646CD6">
        <w:t>, as the name suggests,</w:t>
      </w:r>
      <w:r>
        <w:t xml:space="preserve"> explicitly only for the purchase of energy and not capacity. Because there is no pathway for solar QFs to receive credit for capacity they provide, the standard offer contract offerings are discriminatory</w:t>
      </w:r>
      <w:r w:rsidR="00BB164E">
        <w:t xml:space="preserve"> and contrary to PURPA</w:t>
      </w:r>
      <w:r>
        <w:t xml:space="preserve">. </w:t>
      </w:r>
    </w:p>
    <w:p w14:paraId="39609D17" w14:textId="77777777" w:rsidR="00394494" w:rsidRDefault="00394494" w:rsidP="00394494">
      <w:pPr>
        <w:keepNext/>
        <w:widowControl w:val="0"/>
        <w:spacing w:line="480" w:lineRule="auto"/>
        <w:ind w:left="720" w:hanging="720"/>
        <w:jc w:val="both"/>
        <w:rPr>
          <w:b/>
        </w:rPr>
      </w:pPr>
      <w:r>
        <w:rPr>
          <w:b/>
        </w:rPr>
        <w:t>Q.</w:t>
      </w:r>
      <w:r>
        <w:rPr>
          <w:b/>
        </w:rPr>
        <w:tab/>
        <w:t>In what way does the Standard QF Capacity and Energy contract exclude solar generation from receiving credit for capacity?</w:t>
      </w:r>
    </w:p>
    <w:p w14:paraId="4A77551F" w14:textId="77777777" w:rsidR="001F4FDC" w:rsidRPr="00507C82" w:rsidRDefault="00394494" w:rsidP="008A1C44">
      <w:pPr>
        <w:spacing w:line="480" w:lineRule="auto"/>
        <w:ind w:left="720" w:hanging="720"/>
        <w:jc w:val="both"/>
        <w:rPr>
          <w:rFonts w:eastAsia="Times New Roman"/>
          <w:color w:val="000000"/>
          <w:lang w:eastAsia="en-US"/>
        </w:rPr>
      </w:pPr>
      <w:r>
        <w:t>A.</w:t>
      </w:r>
      <w:r>
        <w:tab/>
        <w:t xml:space="preserve">Although the GPC Panel testimony refers to this contract form as the “Standard QF Capacity and Energy” contract, the contract form is titled “Standard Contract for the Purchase of Firm Capacity and Energy </w:t>
      </w:r>
      <w:proofErr w:type="gramStart"/>
      <w:r>
        <w:t>From</w:t>
      </w:r>
      <w:proofErr w:type="gramEnd"/>
      <w:r>
        <w:t xml:space="preserve"> a Qualifying Facility”. </w:t>
      </w:r>
      <w:bookmarkStart w:id="20" w:name="_Hlk57212870"/>
      <w:r>
        <w:t xml:space="preserve">This contract provides compensation for “committed capacity”, which </w:t>
      </w:r>
      <w:r w:rsidR="00494470">
        <w:t>is</w:t>
      </w:r>
      <w:r>
        <w:t xml:space="preserve"> the capacity </w:t>
      </w:r>
      <w:bookmarkEnd w:id="20"/>
      <w:r>
        <w:t>“as defined in Section 8.1, which QF has agreed to make available on a firm basis at the Point of Delivery”.</w:t>
      </w:r>
      <w:r>
        <w:rPr>
          <w:rStyle w:val="FootnoteReference"/>
        </w:rPr>
        <w:footnoteReference w:id="21"/>
      </w:r>
      <w:r>
        <w:t xml:space="preserve"> </w:t>
      </w:r>
      <w:bookmarkStart w:id="22" w:name="_Hlk57213067"/>
      <w:r>
        <w:t xml:space="preserve">Given that Georgia Power describes this contract and defines capacity as “firm”, this contract form does not appear to be available </w:t>
      </w:r>
      <w:r w:rsidR="00BB164E">
        <w:t xml:space="preserve">to </w:t>
      </w:r>
      <w:r>
        <w:t>a solar QF. To our knowledge, no solar QF has been able to obtain a “Firm Capacity and Energy” contract from Georgia Power.</w:t>
      </w:r>
      <w:r w:rsidR="00BB164E">
        <w:t xml:space="preserve"> Moreover, even for non-solar QFs, </w:t>
      </w:r>
      <w:bookmarkEnd w:id="22"/>
      <w:r w:rsidR="001F4FDC">
        <w:t xml:space="preserve">the “Firm Capacity and Energy” contract appears to be more of a </w:t>
      </w:r>
      <w:r w:rsidR="001F4FDC">
        <w:lastRenderedPageBreak/>
        <w:t>relic than a</w:t>
      </w:r>
      <w:r w:rsidR="00BB164E">
        <w:t xml:space="preserve"> viable</w:t>
      </w:r>
      <w:r w:rsidR="001F4FDC">
        <w:t xml:space="preserve"> option. </w:t>
      </w:r>
      <w:r w:rsidR="001F4FDC">
        <w:rPr>
          <w:rFonts w:eastAsia="Times New Roman"/>
          <w:color w:val="000000"/>
          <w:lang w:eastAsia="en-US"/>
        </w:rPr>
        <w:t xml:space="preserve">It </w:t>
      </w:r>
      <w:r w:rsidR="001F4FDC" w:rsidRPr="00C2292D">
        <w:rPr>
          <w:rFonts w:eastAsia="Times New Roman"/>
          <w:color w:val="000000"/>
          <w:lang w:eastAsia="en-US"/>
        </w:rPr>
        <w:t>has been over a decade since the Company paid for capacity from any standard offer participant outside of the proxy contract.</w:t>
      </w:r>
      <w:r w:rsidR="001F4FDC" w:rsidRPr="00C2292D">
        <w:rPr>
          <w:rFonts w:eastAsia="Times New Roman"/>
          <w:color w:val="000000"/>
          <w:vertAlign w:val="superscript"/>
          <w:lang w:eastAsia="en-US"/>
        </w:rPr>
        <w:footnoteReference w:id="22"/>
      </w:r>
    </w:p>
    <w:p w14:paraId="5F0950F7" w14:textId="77777777" w:rsidR="00394494" w:rsidRDefault="00394494" w:rsidP="00394494">
      <w:pPr>
        <w:keepNext/>
        <w:widowControl w:val="0"/>
        <w:spacing w:line="480" w:lineRule="auto"/>
        <w:ind w:left="720" w:hanging="720"/>
        <w:jc w:val="both"/>
        <w:rPr>
          <w:b/>
        </w:rPr>
      </w:pPr>
      <w:bookmarkStart w:id="23" w:name="_Hlk57211312"/>
      <w:r>
        <w:rPr>
          <w:b/>
        </w:rPr>
        <w:t>Q.</w:t>
      </w:r>
      <w:r>
        <w:rPr>
          <w:b/>
        </w:rPr>
        <w:tab/>
        <w:t>In what way does the QF Proxy contract exclude solar generation from receiving credit for capacity?</w:t>
      </w:r>
    </w:p>
    <w:p w14:paraId="0373F13F" w14:textId="77777777" w:rsidR="00394494" w:rsidRDefault="00394494" w:rsidP="00394494">
      <w:pPr>
        <w:spacing w:line="480" w:lineRule="auto"/>
        <w:ind w:left="720" w:hanging="720"/>
        <w:jc w:val="both"/>
      </w:pPr>
      <w:r>
        <w:t>A.</w:t>
      </w:r>
      <w:r>
        <w:tab/>
        <w:t>Although the GPC Panel testimony refers to this contract form as the “QF Proxy” contract, the contract form is titled “Standard Contract for the Purchase of Firm Capacity and Energy From a Renewable Energy Qualifying Facility Utilizing the Proxy Unit Methodology”.</w:t>
      </w:r>
      <w:r>
        <w:rPr>
          <w:rStyle w:val="FootnoteReference"/>
        </w:rPr>
        <w:footnoteReference w:id="23"/>
      </w:r>
      <w:r>
        <w:t xml:space="preserve"> This contract provides compensation for “committed capacity”, which </w:t>
      </w:r>
      <w:r w:rsidR="00494470">
        <w:t>is</w:t>
      </w:r>
      <w:r>
        <w:t xml:space="preserve"> the capacity “as defined in Section 8.1, which QF has agreed to make available on a firm basis at the Point of Delivery”.</w:t>
      </w:r>
      <w:r>
        <w:rPr>
          <w:rStyle w:val="FootnoteReference"/>
        </w:rPr>
        <w:footnoteReference w:id="24"/>
      </w:r>
      <w:r>
        <w:t xml:space="preserve"> Given that Georgia Power describes this contract and defines capacity as “firm”, this contract form </w:t>
      </w:r>
      <w:r w:rsidR="00494470">
        <w:t xml:space="preserve">also </w:t>
      </w:r>
      <w:r>
        <w:t xml:space="preserve">does not appear to be available for a solar QF. </w:t>
      </w:r>
      <w:r w:rsidR="00494470">
        <w:t xml:space="preserve">Indeed, </w:t>
      </w:r>
      <w:r>
        <w:t xml:space="preserve">Georgia Power has described the QF Proxy contract as being available to resources that are more akin to baseload resources, with </w:t>
      </w:r>
      <w:r w:rsidR="005B20BA">
        <w:t>96</w:t>
      </w:r>
      <w:r>
        <w:t>% capacity commitment.</w:t>
      </w:r>
      <w:r>
        <w:rPr>
          <w:rStyle w:val="FootnoteReference"/>
        </w:rPr>
        <w:footnoteReference w:id="25"/>
      </w:r>
      <w:r>
        <w:t xml:space="preserve"> To our knowledge, no solar QF has been able to obtain a “QF Proxy” contract from Georgia Power</w:t>
      </w:r>
      <w:r w:rsidR="001F391F">
        <w:t>, and Georgia Power’s testimony supports our understanding that a solar QF would never be eligible to enter</w:t>
      </w:r>
      <w:r w:rsidR="00BB164E">
        <w:t xml:space="preserve"> </w:t>
      </w:r>
      <w:r w:rsidR="001F391F">
        <w:t>into the proxy contract.</w:t>
      </w:r>
    </w:p>
    <w:p w14:paraId="11FAA561" w14:textId="77777777" w:rsidR="00394494" w:rsidRDefault="00394494" w:rsidP="00394494">
      <w:pPr>
        <w:keepNext/>
        <w:widowControl w:val="0"/>
        <w:spacing w:line="480" w:lineRule="auto"/>
        <w:ind w:left="720" w:hanging="720"/>
        <w:jc w:val="both"/>
        <w:rPr>
          <w:b/>
        </w:rPr>
      </w:pPr>
      <w:r>
        <w:rPr>
          <w:b/>
        </w:rPr>
        <w:t>Q.</w:t>
      </w:r>
      <w:r>
        <w:rPr>
          <w:b/>
        </w:rPr>
        <w:tab/>
        <w:t>So, a solar QF does not currently have available and is not proposed by Georgia Power in this case to be offered a standard offer contract that includes credit for capacity?</w:t>
      </w:r>
    </w:p>
    <w:p w14:paraId="57A72326" w14:textId="77777777" w:rsidR="00394494" w:rsidRDefault="00394494" w:rsidP="00394494">
      <w:pPr>
        <w:spacing w:line="480" w:lineRule="auto"/>
        <w:ind w:left="720" w:hanging="720"/>
        <w:jc w:val="both"/>
      </w:pPr>
      <w:r>
        <w:t>A.</w:t>
      </w:r>
      <w:r>
        <w:tab/>
        <w:t xml:space="preserve">That is correct. </w:t>
      </w:r>
    </w:p>
    <w:p w14:paraId="41FC4963" w14:textId="77777777" w:rsidR="006E288B" w:rsidRDefault="006E288B" w:rsidP="00394494">
      <w:pPr>
        <w:keepNext/>
        <w:widowControl w:val="0"/>
        <w:spacing w:line="480" w:lineRule="auto"/>
        <w:ind w:left="720" w:hanging="720"/>
        <w:jc w:val="both"/>
        <w:rPr>
          <w:b/>
        </w:rPr>
      </w:pPr>
      <w:r>
        <w:rPr>
          <w:b/>
        </w:rPr>
        <w:lastRenderedPageBreak/>
        <w:t>Q.</w:t>
      </w:r>
      <w:r>
        <w:rPr>
          <w:b/>
        </w:rPr>
        <w:tab/>
        <w:t xml:space="preserve">Does the RNR tariff provide a pathway for small QFs to receive capacity credit? </w:t>
      </w:r>
    </w:p>
    <w:p w14:paraId="069839FA" w14:textId="77777777" w:rsidR="00885358" w:rsidRDefault="006E288B" w:rsidP="00885358">
      <w:pPr>
        <w:keepNext/>
        <w:widowControl w:val="0"/>
        <w:spacing w:line="480" w:lineRule="auto"/>
        <w:ind w:left="720" w:hanging="720"/>
        <w:jc w:val="both"/>
        <w:rPr>
          <w:rFonts w:eastAsia="Times New Roman"/>
          <w:b/>
          <w:bCs/>
          <w:color w:val="000000"/>
          <w:lang w:eastAsia="en-US"/>
        </w:rPr>
      </w:pPr>
      <w:r w:rsidRPr="008A57AC">
        <w:t>A.</w:t>
      </w:r>
      <w:r w:rsidRPr="008A57AC">
        <w:tab/>
        <w:t>No. Under the current process, it appears as though RNR customers could theoretically be compensated for capacity in years of ca</w:t>
      </w:r>
      <w:r w:rsidRPr="006E288B">
        <w:t>pacity need</w:t>
      </w:r>
      <w:r w:rsidR="00BB164E">
        <w:t>. The Company’s annually filed projections in Docket 16</w:t>
      </w:r>
      <w:r w:rsidR="006008BB">
        <w:t xml:space="preserve">573 have previously included capacity price projections, suggesting that the RNR customer could qualify for capacity payments in the year of need. However, Georgia Power testified that an RNR customer has </w:t>
      </w:r>
      <w:r w:rsidR="006008BB" w:rsidRPr="008A57AC">
        <w:rPr>
          <w:b/>
          <w:bCs/>
          <w:u w:val="single"/>
        </w:rPr>
        <w:t>never</w:t>
      </w:r>
      <w:r w:rsidR="006008BB">
        <w:t xml:space="preserve"> been paid any credit for capacity,</w:t>
      </w:r>
      <w:r w:rsidR="006008BB">
        <w:rPr>
          <w:rStyle w:val="FootnoteReference"/>
        </w:rPr>
        <w:footnoteReference w:id="26"/>
      </w:r>
      <w:r w:rsidR="006008BB">
        <w:t xml:space="preserve"> and the Company now proposes to make that a permanent feature by eliminating capacity benefits from consideration for those QFs</w:t>
      </w:r>
      <w:r w:rsidR="00B26BB6">
        <w:t xml:space="preserve"> altogether</w:t>
      </w:r>
      <w:r w:rsidR="006008BB">
        <w:t>.</w:t>
      </w:r>
      <w:r w:rsidR="006008BB">
        <w:rPr>
          <w:rStyle w:val="FootnoteReference"/>
        </w:rPr>
        <w:footnoteReference w:id="27"/>
      </w:r>
      <w:r w:rsidR="006008BB">
        <w:t xml:space="preserve"> To that end, </w:t>
      </w:r>
      <w:r w:rsidR="00982579">
        <w:t>the Company’s</w:t>
      </w:r>
      <w:r w:rsidR="006008BB">
        <w:t xml:space="preserve"> revised projections filed as </w:t>
      </w:r>
      <w:r w:rsidR="00646CD6">
        <w:t xml:space="preserve">its </w:t>
      </w:r>
      <w:r w:rsidR="006008BB" w:rsidRPr="00982579">
        <w:t>Exhibit 1</w:t>
      </w:r>
      <w:r w:rsidR="006008BB">
        <w:t xml:space="preserve"> no longer include a capacity price</w:t>
      </w:r>
      <w:r w:rsidR="00885358">
        <w:t xml:space="preserve"> </w:t>
      </w:r>
      <w:r w:rsidR="006008BB">
        <w:t>projection column</w:t>
      </w:r>
      <w:r w:rsidR="008A57AC">
        <w:t>.</w:t>
      </w:r>
    </w:p>
    <w:p w14:paraId="18F4EB96" w14:textId="77777777" w:rsidR="00507C82" w:rsidRPr="00C2292D" w:rsidRDefault="00507C82" w:rsidP="00646CD6">
      <w:pPr>
        <w:keepNext/>
        <w:widowControl w:val="0"/>
        <w:spacing w:line="480" w:lineRule="auto"/>
        <w:ind w:left="720" w:hanging="720"/>
        <w:jc w:val="both"/>
        <w:rPr>
          <w:rFonts w:eastAsia="Times New Roman"/>
          <w:b/>
          <w:bCs/>
          <w:color w:val="000000"/>
          <w:lang w:eastAsia="en-US"/>
        </w:rPr>
      </w:pPr>
      <w:r w:rsidRPr="00C2292D">
        <w:rPr>
          <w:rFonts w:eastAsia="Times New Roman"/>
          <w:b/>
          <w:bCs/>
          <w:color w:val="000000"/>
          <w:lang w:eastAsia="en-US"/>
        </w:rPr>
        <w:t>Q.</w:t>
      </w:r>
      <w:r w:rsidRPr="00C2292D">
        <w:rPr>
          <w:rFonts w:eastAsia="Times New Roman"/>
          <w:b/>
          <w:bCs/>
          <w:color w:val="000000"/>
          <w:lang w:eastAsia="en-US"/>
        </w:rPr>
        <w:tab/>
        <w:t>Does the</w:t>
      </w:r>
      <w:r>
        <w:rPr>
          <w:rFonts w:eastAsia="Times New Roman"/>
          <w:b/>
          <w:bCs/>
          <w:color w:val="000000"/>
          <w:lang w:eastAsia="en-US"/>
        </w:rPr>
        <w:t xml:space="preserve"> absence of pathways for a solar QF to receive capacity credit mean that they are not providing valuable capacity to Georgia Power and its customers? </w:t>
      </w:r>
      <w:r w:rsidRPr="00C2292D">
        <w:rPr>
          <w:rFonts w:eastAsia="Times New Roman"/>
          <w:b/>
          <w:bCs/>
          <w:color w:val="000000"/>
          <w:lang w:eastAsia="en-US"/>
        </w:rPr>
        <w:t xml:space="preserve"> </w:t>
      </w:r>
    </w:p>
    <w:p w14:paraId="06FEA313" w14:textId="77777777" w:rsidR="00507C82" w:rsidRPr="00507C82" w:rsidRDefault="00507C82" w:rsidP="00494470">
      <w:pPr>
        <w:shd w:val="clear" w:color="auto" w:fill="FFFFFF"/>
        <w:spacing w:line="480" w:lineRule="auto"/>
        <w:ind w:left="720" w:hanging="720"/>
        <w:jc w:val="both"/>
        <w:rPr>
          <w:rFonts w:eastAsia="Times New Roman"/>
          <w:color w:val="000000"/>
          <w:lang w:eastAsia="en-US"/>
        </w:rPr>
      </w:pPr>
      <w:r w:rsidRPr="00C2292D">
        <w:rPr>
          <w:rFonts w:eastAsia="Times New Roman"/>
          <w:color w:val="000000"/>
          <w:lang w:eastAsia="en-US"/>
        </w:rPr>
        <w:t>A.</w:t>
      </w:r>
      <w:r w:rsidRPr="00C2292D">
        <w:rPr>
          <w:rFonts w:eastAsia="Times New Roman"/>
          <w:color w:val="000000"/>
          <w:lang w:eastAsia="en-US"/>
        </w:rPr>
        <w:tab/>
        <w:t xml:space="preserve">No. </w:t>
      </w:r>
      <w:r w:rsidR="006008BB">
        <w:rPr>
          <w:rFonts w:eastAsia="Times New Roman"/>
          <w:color w:val="000000"/>
          <w:lang w:eastAsia="en-US"/>
        </w:rPr>
        <w:t>The</w:t>
      </w:r>
      <w:r w:rsidRPr="00C2292D">
        <w:rPr>
          <w:rFonts w:eastAsia="Times New Roman"/>
          <w:color w:val="000000"/>
          <w:lang w:eastAsia="en-US"/>
        </w:rPr>
        <w:t xml:space="preserve"> Company</w:t>
      </w:r>
      <w:r w:rsidR="00EF00D1">
        <w:rPr>
          <w:rFonts w:eastAsia="Times New Roman"/>
          <w:color w:val="000000"/>
          <w:lang w:eastAsia="en-US"/>
        </w:rPr>
        <w:t xml:space="preserve">’s RCB Framework expressly </w:t>
      </w:r>
      <w:r w:rsidRPr="00C2292D">
        <w:rPr>
          <w:rFonts w:eastAsia="Times New Roman"/>
          <w:color w:val="000000"/>
          <w:lang w:eastAsia="en-US"/>
        </w:rPr>
        <w:t>acknowledge</w:t>
      </w:r>
      <w:r w:rsidR="00EF00D1">
        <w:rPr>
          <w:rFonts w:eastAsia="Times New Roman"/>
          <w:color w:val="000000"/>
          <w:lang w:eastAsia="en-US"/>
        </w:rPr>
        <w:t xml:space="preserve">s </w:t>
      </w:r>
      <w:r w:rsidR="006008BB">
        <w:rPr>
          <w:rFonts w:eastAsia="Times New Roman"/>
          <w:color w:val="000000"/>
          <w:lang w:eastAsia="en-US"/>
        </w:rPr>
        <w:t xml:space="preserve">that solar generators </w:t>
      </w:r>
      <w:r w:rsidRPr="00C2292D">
        <w:rPr>
          <w:rFonts w:eastAsia="Times New Roman"/>
          <w:color w:val="000000"/>
          <w:lang w:eastAsia="en-US"/>
        </w:rPr>
        <w:t>provid</w:t>
      </w:r>
      <w:r w:rsidR="006008BB">
        <w:rPr>
          <w:rFonts w:eastAsia="Times New Roman"/>
          <w:color w:val="000000"/>
          <w:lang w:eastAsia="en-US"/>
        </w:rPr>
        <w:t xml:space="preserve">e </w:t>
      </w:r>
      <w:r w:rsidRPr="00C2292D">
        <w:rPr>
          <w:rFonts w:eastAsia="Times New Roman"/>
          <w:color w:val="000000"/>
          <w:lang w:eastAsia="en-US"/>
        </w:rPr>
        <w:t>capacity benefit</w:t>
      </w:r>
      <w:r w:rsidR="00EF00D1">
        <w:rPr>
          <w:rFonts w:eastAsia="Times New Roman"/>
          <w:color w:val="000000"/>
          <w:lang w:eastAsia="en-US"/>
        </w:rPr>
        <w:t>s</w:t>
      </w:r>
      <w:r w:rsidR="00646CD6">
        <w:rPr>
          <w:rFonts w:eastAsia="Times New Roman"/>
          <w:color w:val="000000"/>
          <w:lang w:eastAsia="en-US"/>
        </w:rPr>
        <w:t>, which is one reason why its proposed piecemeal application of the Framework to standard offer generators makes no sense</w:t>
      </w:r>
      <w:r w:rsidRPr="00C2292D">
        <w:rPr>
          <w:rFonts w:eastAsia="Times New Roman"/>
          <w:color w:val="000000"/>
          <w:lang w:eastAsia="en-US"/>
        </w:rPr>
        <w:t xml:space="preserve">. The amount of capacity value solar generators provide and how it should be ascertained is subject to many determinations and some components where reasonable disagreements can occur, but the existence of this value is not seriously debated. </w:t>
      </w:r>
      <w:r w:rsidR="00EF00D1">
        <w:rPr>
          <w:rFonts w:eastAsia="Times New Roman"/>
          <w:color w:val="000000"/>
          <w:lang w:eastAsia="en-US"/>
        </w:rPr>
        <w:t>Nevertheless, t</w:t>
      </w:r>
      <w:r w:rsidRPr="00C2292D">
        <w:rPr>
          <w:rFonts w:eastAsia="Times New Roman"/>
          <w:color w:val="000000"/>
          <w:lang w:eastAsia="en-US"/>
        </w:rPr>
        <w:t xml:space="preserve">he current standard offer contracts do not provide a way to compensate </w:t>
      </w:r>
      <w:r w:rsidR="00EF00D1">
        <w:rPr>
          <w:rFonts w:eastAsia="Times New Roman"/>
          <w:color w:val="000000"/>
          <w:lang w:eastAsia="en-US"/>
        </w:rPr>
        <w:t>solar</w:t>
      </w:r>
      <w:r w:rsidR="00EF00D1" w:rsidRPr="00C2292D">
        <w:rPr>
          <w:rFonts w:eastAsia="Times New Roman"/>
          <w:color w:val="000000"/>
          <w:lang w:eastAsia="en-US"/>
        </w:rPr>
        <w:t xml:space="preserve"> </w:t>
      </w:r>
      <w:r w:rsidRPr="00C2292D">
        <w:rPr>
          <w:rFonts w:eastAsia="Times New Roman"/>
          <w:color w:val="000000"/>
          <w:lang w:eastAsia="en-US"/>
        </w:rPr>
        <w:t>generators for a value they cannot help but contribute to the system</w:t>
      </w:r>
      <w:r w:rsidR="00EF00D1">
        <w:rPr>
          <w:rFonts w:eastAsia="Times New Roman"/>
          <w:color w:val="000000"/>
          <w:lang w:eastAsia="en-US"/>
        </w:rPr>
        <w:t>, nor would the RNR tariff under the changes now proposed by the Company</w:t>
      </w:r>
      <w:r w:rsidRPr="00C2292D">
        <w:rPr>
          <w:rFonts w:eastAsia="Times New Roman"/>
          <w:color w:val="000000"/>
          <w:lang w:eastAsia="en-US"/>
        </w:rPr>
        <w:t xml:space="preserve">. This is an obvious </w:t>
      </w:r>
      <w:r w:rsidR="00EF00D1">
        <w:rPr>
          <w:rFonts w:eastAsia="Times New Roman"/>
          <w:color w:val="000000"/>
          <w:lang w:eastAsia="en-US"/>
        </w:rPr>
        <w:t>shortcoming with these standard offerings</w:t>
      </w:r>
      <w:r>
        <w:rPr>
          <w:rFonts w:eastAsia="Times New Roman"/>
          <w:color w:val="000000"/>
          <w:lang w:eastAsia="en-US"/>
        </w:rPr>
        <w:t>.</w:t>
      </w:r>
    </w:p>
    <w:p w14:paraId="71C2D19D" w14:textId="77777777" w:rsidR="00394494" w:rsidRDefault="00394494" w:rsidP="00394494">
      <w:pPr>
        <w:keepNext/>
        <w:widowControl w:val="0"/>
        <w:spacing w:line="480" w:lineRule="auto"/>
        <w:ind w:left="720" w:hanging="720"/>
        <w:jc w:val="both"/>
        <w:rPr>
          <w:b/>
        </w:rPr>
      </w:pPr>
      <w:r>
        <w:rPr>
          <w:b/>
        </w:rPr>
        <w:lastRenderedPageBreak/>
        <w:t>Q.</w:t>
      </w:r>
      <w:r>
        <w:rPr>
          <w:b/>
        </w:rPr>
        <w:tab/>
        <w:t>Has the Commission established avoided cost, or a method by which avoided cost can be determined, for a solar QF that establishes a legally enforceable obligation to provide capacity to Georgia Power?</w:t>
      </w:r>
    </w:p>
    <w:p w14:paraId="59F05956" w14:textId="77777777" w:rsidR="00394494" w:rsidRDefault="00394494" w:rsidP="000411BC">
      <w:pPr>
        <w:spacing w:line="480" w:lineRule="auto"/>
        <w:ind w:left="720" w:hanging="720"/>
        <w:jc w:val="both"/>
      </w:pPr>
      <w:r>
        <w:t>A.</w:t>
      </w:r>
      <w:r>
        <w:tab/>
        <w:t>No.</w:t>
      </w:r>
      <w:r w:rsidR="001068CB">
        <w:t xml:space="preserve"> The </w:t>
      </w:r>
      <w:proofErr w:type="spellStart"/>
      <w:r w:rsidR="001068CB">
        <w:t>peaker</w:t>
      </w:r>
      <w:proofErr w:type="spellEnd"/>
      <w:r w:rsidR="001068CB">
        <w:t xml:space="preserve"> method</w:t>
      </w:r>
      <w:r w:rsidR="00BC3BEC">
        <w:t xml:space="preserve"> adopted by the Commission for the Firm Capacity </w:t>
      </w:r>
      <w:r w:rsidR="00D41745">
        <w:t xml:space="preserve">and Energy </w:t>
      </w:r>
      <w:r w:rsidR="00BC3BEC">
        <w:t>Contract is an appropriate foundation</w:t>
      </w:r>
      <w:r w:rsidR="0043253E">
        <w:t xml:space="preserve"> for determining the value of capacity</w:t>
      </w:r>
      <w:r w:rsidR="00646CD6">
        <w:t>,</w:t>
      </w:r>
      <w:r w:rsidR="0043253E">
        <w:t xml:space="preserve"> but the Commission has not adopted a method to determine the capacity credit </w:t>
      </w:r>
      <w:r w:rsidR="00D41745">
        <w:t xml:space="preserve">applicable to solar. </w:t>
      </w:r>
    </w:p>
    <w:p w14:paraId="74A02842" w14:textId="77777777" w:rsidR="00394494" w:rsidRDefault="00394494" w:rsidP="00394494">
      <w:pPr>
        <w:keepNext/>
        <w:widowControl w:val="0"/>
        <w:spacing w:line="480" w:lineRule="auto"/>
        <w:ind w:left="720" w:hanging="720"/>
        <w:jc w:val="both"/>
        <w:rPr>
          <w:b/>
        </w:rPr>
      </w:pPr>
      <w:r>
        <w:rPr>
          <w:b/>
        </w:rPr>
        <w:t>Q.</w:t>
      </w:r>
      <w:r>
        <w:rPr>
          <w:b/>
        </w:rPr>
        <w:tab/>
        <w:t>The GPC Panel claimed that solar QFs should not be given credit for avoided capacity because the Standard QF Energy-Only Contract provides the QF the option to terminate the contract with 365 days</w:t>
      </w:r>
      <w:r w:rsidR="00EF00D1">
        <w:rPr>
          <w:b/>
        </w:rPr>
        <w:t>’</w:t>
      </w:r>
      <w:r>
        <w:rPr>
          <w:b/>
        </w:rPr>
        <w:t xml:space="preserve"> notice and therefore cannot be incorporated into long-term capacity plans.</w:t>
      </w:r>
      <w:r>
        <w:rPr>
          <w:rStyle w:val="FootnoteReference"/>
          <w:b/>
        </w:rPr>
        <w:footnoteReference w:id="28"/>
      </w:r>
      <w:r>
        <w:rPr>
          <w:b/>
        </w:rPr>
        <w:t xml:space="preserve"> Do you agree?</w:t>
      </w:r>
    </w:p>
    <w:p w14:paraId="3F355B05" w14:textId="77777777" w:rsidR="00394494" w:rsidRDefault="00394494" w:rsidP="00394494">
      <w:pPr>
        <w:spacing w:line="480" w:lineRule="auto"/>
        <w:ind w:left="720" w:hanging="720"/>
        <w:jc w:val="both"/>
      </w:pPr>
      <w:r>
        <w:t>A.</w:t>
      </w:r>
      <w:r>
        <w:tab/>
        <w:t xml:space="preserve">No, for several reasons. First, Georgia Power </w:t>
      </w:r>
      <w:r w:rsidR="00EF00D1">
        <w:t xml:space="preserve">only </w:t>
      </w:r>
      <w:r>
        <w:t>proposes to add this provision now</w:t>
      </w:r>
      <w:r w:rsidR="00B26BB6">
        <w:t xml:space="preserve"> –this </w:t>
      </w:r>
      <w:r w:rsidR="008E2F69">
        <w:t xml:space="preserve">is </w:t>
      </w:r>
      <w:r w:rsidR="00B26BB6">
        <w:t>a problem entirely of Georgia Power’s own making</w:t>
      </w:r>
      <w:r>
        <w:t xml:space="preserve">. </w:t>
      </w:r>
      <w:r w:rsidR="008E2F69">
        <w:t>Why</w:t>
      </w:r>
      <w:r>
        <w:t xml:space="preserve"> add a provision that creates problems for the utility</w:t>
      </w:r>
      <w:r w:rsidR="001F4FDC">
        <w:t xml:space="preserve"> and </w:t>
      </w:r>
      <w:r w:rsidR="00EE50A9">
        <w:t>its</w:t>
      </w:r>
      <w:r w:rsidR="001F4FDC">
        <w:t xml:space="preserve"> resource planning activities</w:t>
      </w:r>
      <w:r w:rsidR="008E2F69">
        <w:t xml:space="preserve">? The most likely outcome </w:t>
      </w:r>
      <w:r w:rsidR="00EF00D1">
        <w:t>is simply to deter standard offer solar QF development</w:t>
      </w:r>
      <w:r w:rsidR="007242FD">
        <w:t xml:space="preserve">, </w:t>
      </w:r>
      <w:r w:rsidR="007242FD" w:rsidRPr="00646CD6">
        <w:t>exactly the opposite goal of PURPA</w:t>
      </w:r>
      <w:r w:rsidR="007242FD">
        <w:t>.</w:t>
      </w:r>
      <w:r>
        <w:t xml:space="preserve"> If Georgia Power believes the provision could be desirable for certain QFs, then </w:t>
      </w:r>
      <w:r w:rsidR="00875A42">
        <w:t xml:space="preserve">the Company </w:t>
      </w:r>
      <w:r>
        <w:t xml:space="preserve">could make it optional. QFs that wish to have this provision included would forego an opportunity to receive capacity credit. But QFs that do not wish to have this provision included would be eligible for capacity credit when appropriate. </w:t>
      </w:r>
    </w:p>
    <w:p w14:paraId="7CF1B025" w14:textId="77777777" w:rsidR="00394494" w:rsidRDefault="00394494" w:rsidP="00394494">
      <w:pPr>
        <w:spacing w:line="480" w:lineRule="auto"/>
        <w:ind w:left="720" w:hanging="720"/>
        <w:jc w:val="both"/>
      </w:pPr>
      <w:r>
        <w:tab/>
        <w:t xml:space="preserve">Second, Georgia Power’s argument </w:t>
      </w:r>
      <w:r w:rsidR="00277904">
        <w:t>has no evidentiary basis</w:t>
      </w:r>
      <w:r>
        <w:t xml:space="preserve">. The QFs participating in these contracts do not have a history of disappearing from Georgia Power’s system. Developers </w:t>
      </w:r>
      <w:r w:rsidR="00C374F9">
        <w:t>undertake significant effort</w:t>
      </w:r>
      <w:r>
        <w:t xml:space="preserve"> to finance and build projects</w:t>
      </w:r>
      <w:r w:rsidR="00B26BB6">
        <w:t xml:space="preserve"> with a thirty year-plus lifespan</w:t>
      </w:r>
      <w:r>
        <w:t xml:space="preserve">, clear interconnection and </w:t>
      </w:r>
      <w:r w:rsidR="00B26BB6">
        <w:t xml:space="preserve">overcome </w:t>
      </w:r>
      <w:r>
        <w:t>other hurdles</w:t>
      </w:r>
      <w:r w:rsidR="00C374F9">
        <w:t xml:space="preserve"> to bring a project to completion</w:t>
      </w:r>
      <w:r>
        <w:t xml:space="preserve">. </w:t>
      </w:r>
      <w:r w:rsidR="00885358" w:rsidRPr="00277904">
        <w:t xml:space="preserve">Once a </w:t>
      </w:r>
      <w:r w:rsidR="00885358" w:rsidRPr="00277904">
        <w:lastRenderedPageBreak/>
        <w:t>solar project is constructed, the costs of operating and maintaining that project are minimal</w:t>
      </w:r>
      <w:r w:rsidR="00C374F9" w:rsidRPr="00277904">
        <w:t>; it would not make business sense</w:t>
      </w:r>
      <w:r w:rsidR="00885358" w:rsidRPr="00277904">
        <w:t xml:space="preserve"> for a QF to discontinue energy production until the major project components need to be replaced.</w:t>
      </w:r>
      <w:r w:rsidR="00BC677B">
        <w:t xml:space="preserve"> Plus, developers often incur high up-front investments that are paid off over the life of a system, giving them a strong incentive to stay in the agreement to recoup − and hopefully profit from − their initial investment.</w:t>
      </w:r>
      <w:r w:rsidR="00885358">
        <w:t xml:space="preserve">  </w:t>
      </w:r>
      <w:r>
        <w:t xml:space="preserve">It is unreasonable to assume that QFs would leave the contract just because there’s a provision that provides a pathway to do so. </w:t>
      </w:r>
      <w:r w:rsidR="00750CC6">
        <w:t xml:space="preserve"> </w:t>
      </w:r>
      <w:r w:rsidR="00C374F9">
        <w:t xml:space="preserve">Georgia Power could easily solve this problem </w:t>
      </w:r>
      <w:r w:rsidR="00750CC6">
        <w:t>by striking th</w:t>
      </w:r>
      <w:r w:rsidR="00C374F9">
        <w:t>is</w:t>
      </w:r>
      <w:r w:rsidR="00750CC6">
        <w:t xml:space="preserve"> provision or </w:t>
      </w:r>
      <w:r w:rsidR="00C374F9">
        <w:t>making it optional</w:t>
      </w:r>
      <w:r w:rsidR="00750CC6">
        <w:t xml:space="preserve"> for QFs who want it. </w:t>
      </w:r>
    </w:p>
    <w:p w14:paraId="5EFF79C5" w14:textId="77777777" w:rsidR="00507C82" w:rsidRPr="00BB5CD8" w:rsidRDefault="00394494">
      <w:pPr>
        <w:spacing w:line="480" w:lineRule="auto"/>
        <w:ind w:left="720" w:hanging="720"/>
        <w:jc w:val="both"/>
      </w:pPr>
      <w:r>
        <w:tab/>
      </w:r>
      <w:r w:rsidR="00277904">
        <w:t xml:space="preserve">Instead </w:t>
      </w:r>
      <w:r w:rsidR="00CE657B">
        <w:t xml:space="preserve">it </w:t>
      </w:r>
      <w:r w:rsidR="00377334">
        <w:t>seem</w:t>
      </w:r>
      <w:r w:rsidR="00277904">
        <w:t>s</w:t>
      </w:r>
      <w:r w:rsidR="00CE657B">
        <w:t xml:space="preserve"> as though Georgia Power is attempting to harm the financial viability of QF developers by </w:t>
      </w:r>
      <w:r>
        <w:t>impos</w:t>
      </w:r>
      <w:r w:rsidR="00CE657B">
        <w:t>ing</w:t>
      </w:r>
      <w:r>
        <w:t xml:space="preserve"> a contract condition and </w:t>
      </w:r>
      <w:r w:rsidR="00277904">
        <w:t>u</w:t>
      </w:r>
      <w:r>
        <w:t>s</w:t>
      </w:r>
      <w:r w:rsidR="00CE657B">
        <w:t>ing</w:t>
      </w:r>
      <w:r>
        <w:t xml:space="preserve"> that condition to deny capacity payments to a QF.</w:t>
      </w:r>
      <w:bookmarkEnd w:id="23"/>
    </w:p>
    <w:p w14:paraId="09EF5E00" w14:textId="77777777" w:rsidR="00507C82" w:rsidRDefault="00507C82" w:rsidP="00507C82">
      <w:pPr>
        <w:keepNext/>
        <w:widowControl w:val="0"/>
        <w:spacing w:line="480" w:lineRule="auto"/>
        <w:ind w:left="720" w:hanging="720"/>
        <w:rPr>
          <w:b/>
        </w:rPr>
      </w:pPr>
      <w:r>
        <w:rPr>
          <w:b/>
        </w:rPr>
        <w:t>Q.</w:t>
      </w:r>
      <w:r>
        <w:rPr>
          <w:b/>
        </w:rPr>
        <w:tab/>
        <w:t>Is Georgia Power obligated under PURPA to purchase capacity from solar QFs?</w:t>
      </w:r>
    </w:p>
    <w:p w14:paraId="3EF5DAE6" w14:textId="77777777" w:rsidR="00507C82" w:rsidRDefault="00507C82" w:rsidP="00277904">
      <w:pPr>
        <w:keepNext/>
        <w:widowControl w:val="0"/>
        <w:spacing w:line="480" w:lineRule="auto"/>
        <w:ind w:left="720" w:hanging="720"/>
        <w:jc w:val="both"/>
        <w:rPr>
          <w:bCs/>
        </w:rPr>
      </w:pPr>
      <w:r>
        <w:rPr>
          <w:bCs/>
        </w:rPr>
        <w:t>A.</w:t>
      </w:r>
      <w:r>
        <w:rPr>
          <w:bCs/>
        </w:rPr>
        <w:tab/>
        <w:t>Yes. Section (d) of the PURPA rules as adopted by the FERC in Order 872 (in a provision that is unchanged from the previous rules) provides that “</w:t>
      </w:r>
      <w:r w:rsidR="00501A6A">
        <w:rPr>
          <w:bCs/>
        </w:rPr>
        <w:t>[e]</w:t>
      </w:r>
      <w:r>
        <w:rPr>
          <w:bCs/>
        </w:rPr>
        <w:t>ach qualifying facility shall have the option: … (ii) To provide energy or capacity pursuant to a legally enforceable obligation for the delivery of energy or capacity over a specified term</w:t>
      </w:r>
      <w:r w:rsidR="00633B83">
        <w:rPr>
          <w:bCs/>
        </w:rPr>
        <w:t>.</w:t>
      </w:r>
      <w:r>
        <w:rPr>
          <w:bCs/>
        </w:rPr>
        <w:t>”</w:t>
      </w:r>
      <w:r w:rsidR="00B26BB6">
        <w:rPr>
          <w:bCs/>
        </w:rPr>
        <w:t xml:space="preserve"> We emphasize that under PURPA, this choice is given to the </w:t>
      </w:r>
      <w:r w:rsidR="001F0BC6">
        <w:rPr>
          <w:bCs/>
        </w:rPr>
        <w:t>QF</w:t>
      </w:r>
      <w:r w:rsidR="00B26BB6">
        <w:rPr>
          <w:bCs/>
        </w:rPr>
        <w:t xml:space="preserve">, not to the utility. </w:t>
      </w:r>
    </w:p>
    <w:p w14:paraId="78DB8C88" w14:textId="77777777" w:rsidR="00507C82" w:rsidRDefault="00507C82" w:rsidP="00277904">
      <w:pPr>
        <w:keepNext/>
        <w:widowControl w:val="0"/>
        <w:spacing w:line="480" w:lineRule="auto"/>
        <w:ind w:left="720" w:hanging="720"/>
        <w:jc w:val="both"/>
        <w:rPr>
          <w:b/>
        </w:rPr>
      </w:pPr>
      <w:r>
        <w:rPr>
          <w:b/>
        </w:rPr>
        <w:t>Q.</w:t>
      </w:r>
      <w:r>
        <w:rPr>
          <w:b/>
        </w:rPr>
        <w:tab/>
        <w:t>Must capacity be “firm” in order to warrant payment of avoided capacity costs under PURPA?</w:t>
      </w:r>
    </w:p>
    <w:p w14:paraId="19AB3B97" w14:textId="77777777" w:rsidR="00507C82" w:rsidRDefault="00507C82" w:rsidP="00507C82">
      <w:pPr>
        <w:spacing w:line="480" w:lineRule="auto"/>
        <w:ind w:left="720" w:hanging="720"/>
        <w:jc w:val="both"/>
      </w:pPr>
      <w:r>
        <w:t>A.</w:t>
      </w:r>
      <w:r>
        <w:tab/>
        <w:t xml:space="preserve"> No. Section (e) of the PURPA rules as adopted by the FERC in Order 872 describes “</w:t>
      </w:r>
      <w:r w:rsidR="00501A6A">
        <w:t>[f]</w:t>
      </w:r>
      <w:r>
        <w:t>actors affecting rates for purchases</w:t>
      </w:r>
      <w:r w:rsidR="00633B83">
        <w:t>.</w:t>
      </w:r>
      <w:r>
        <w:t xml:space="preserve">” In relevant part, Subsection (e)(1) provides that “a state regulatory authority or nonregulated electric utility may establish rates for purchases of energy and/or capacity from a qualifying facility based on a Competitive </w:t>
      </w:r>
      <w:r>
        <w:lastRenderedPageBreak/>
        <w:t>Solicitation Price. To the extent that capacity rates are not set pursuant to this section, capacity rates shall be set pursuant to subsection (2).” Subsection (e)(2) provides that:</w:t>
      </w:r>
    </w:p>
    <w:p w14:paraId="5919BED6" w14:textId="77777777" w:rsidR="00501A6A" w:rsidRPr="008A57AC" w:rsidRDefault="00507C82" w:rsidP="00277904">
      <w:pPr>
        <w:shd w:val="clear" w:color="auto" w:fill="FFFFFF"/>
        <w:spacing w:after="150"/>
        <w:ind w:left="1440" w:right="720"/>
        <w:jc w:val="both"/>
        <w:rPr>
          <w:rFonts w:eastAsia="Times New Roman"/>
          <w:b/>
          <w:bCs/>
          <w:color w:val="333333"/>
        </w:rPr>
      </w:pPr>
      <w:r w:rsidRPr="008A57AC">
        <w:rPr>
          <w:rFonts w:eastAsia="Times New Roman"/>
          <w:b/>
          <w:bCs/>
          <w:color w:val="333333"/>
        </w:rPr>
        <w:t xml:space="preserve">(2) </w:t>
      </w:r>
      <w:r w:rsidRPr="008A57AC">
        <w:rPr>
          <w:rFonts w:eastAsia="Times New Roman"/>
          <w:color w:val="333333"/>
        </w:rPr>
        <w:t>To the extent that a state regulatory authority or nonregulated electric utility does not set energy and/or capacity rates pursuant to paragraph (e)(1) of this section, the following factors shall, to the extent practicable, be taken into account in determining rates for purchases from a qualifying facility:</w:t>
      </w:r>
    </w:p>
    <w:p w14:paraId="4BBAED4F" w14:textId="77777777" w:rsidR="00501A6A" w:rsidRDefault="00507C82" w:rsidP="00277904">
      <w:pPr>
        <w:shd w:val="clear" w:color="auto" w:fill="FFFFFF"/>
        <w:spacing w:after="150"/>
        <w:ind w:left="1680" w:right="720"/>
        <w:jc w:val="both"/>
        <w:rPr>
          <w:rFonts w:eastAsia="Times New Roman"/>
          <w:b/>
          <w:bCs/>
          <w:color w:val="333333"/>
        </w:rPr>
      </w:pPr>
      <w:r w:rsidRPr="008A57AC">
        <w:rPr>
          <w:rFonts w:eastAsia="Times New Roman"/>
          <w:b/>
          <w:bCs/>
          <w:color w:val="333333"/>
        </w:rPr>
        <w:t xml:space="preserve">(i) </w:t>
      </w:r>
      <w:r w:rsidRPr="008A57AC">
        <w:rPr>
          <w:rFonts w:eastAsia="Times New Roman"/>
          <w:color w:val="333333"/>
        </w:rPr>
        <w:t>The data provided pursuant to § 292.302(b), (c), or (d), including State review of any such data;</w:t>
      </w:r>
    </w:p>
    <w:p w14:paraId="5D2EDA2C" w14:textId="77777777" w:rsidR="00507C82" w:rsidRPr="008A57AC" w:rsidRDefault="00507C82" w:rsidP="00277904">
      <w:pPr>
        <w:shd w:val="clear" w:color="auto" w:fill="FFFFFF"/>
        <w:spacing w:after="150"/>
        <w:ind w:left="1680" w:right="720"/>
        <w:jc w:val="both"/>
        <w:rPr>
          <w:rFonts w:eastAsia="Times New Roman"/>
          <w:b/>
          <w:bCs/>
          <w:color w:val="333333"/>
        </w:rPr>
      </w:pPr>
      <w:r w:rsidRPr="008A57AC">
        <w:rPr>
          <w:rFonts w:eastAsia="Times New Roman"/>
          <w:b/>
          <w:bCs/>
          <w:color w:val="333333"/>
        </w:rPr>
        <w:t xml:space="preserve">(ii) </w:t>
      </w:r>
      <w:r w:rsidRPr="008A57AC">
        <w:rPr>
          <w:rFonts w:eastAsia="Times New Roman"/>
          <w:color w:val="333333"/>
        </w:rPr>
        <w:t>The availability of capacity or energy from a qualifying facility during the system daily and seasonal peak periods, including:</w:t>
      </w:r>
    </w:p>
    <w:p w14:paraId="6974A818"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 xml:space="preserve">(A) </w:t>
      </w:r>
      <w:r w:rsidRPr="008A57AC">
        <w:rPr>
          <w:rFonts w:eastAsia="Times New Roman"/>
          <w:color w:val="333333"/>
        </w:rPr>
        <w:t>The ability of the electric utility to dispatch the qualifying facility;</w:t>
      </w:r>
    </w:p>
    <w:p w14:paraId="3B617FF4"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 xml:space="preserve">(B) </w:t>
      </w:r>
      <w:r w:rsidRPr="008A57AC">
        <w:rPr>
          <w:rFonts w:eastAsia="Times New Roman"/>
          <w:color w:val="333333"/>
        </w:rPr>
        <w:t>The expected or demonstrated reliability of the qualifying facility;</w:t>
      </w:r>
    </w:p>
    <w:p w14:paraId="26768850"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 xml:space="preserve">(C) </w:t>
      </w:r>
      <w:r w:rsidRPr="008A57AC">
        <w:rPr>
          <w:rFonts w:eastAsia="Times New Roman"/>
          <w:color w:val="333333"/>
        </w:rPr>
        <w:t>The terms of any contract or other legally enforceable obligation, including the duration of the obligation, termination notice requirement and sanctions for non-compliance;</w:t>
      </w:r>
    </w:p>
    <w:p w14:paraId="2C582248"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(D</w:t>
      </w:r>
      <w:r w:rsidRPr="008A57AC">
        <w:rPr>
          <w:rFonts w:eastAsia="Times New Roman"/>
          <w:color w:val="333333"/>
        </w:rPr>
        <w:t>) The extent to which scheduled outages of the qualifying facility can be usefully coordinated with scheduled outages of the electric utility's facilities;</w:t>
      </w:r>
    </w:p>
    <w:p w14:paraId="4C27E6FE"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 xml:space="preserve">(E) </w:t>
      </w:r>
      <w:r w:rsidRPr="008A57AC">
        <w:rPr>
          <w:rFonts w:eastAsia="Times New Roman"/>
          <w:color w:val="333333"/>
        </w:rPr>
        <w:t>The usefulness of energy and capacity supplied from a qualifying facility during system emergencies, including its ability to separate its load from its generation;</w:t>
      </w:r>
    </w:p>
    <w:p w14:paraId="31D57903" w14:textId="77777777" w:rsidR="00507C82" w:rsidRPr="008A57AC" w:rsidRDefault="00507C82" w:rsidP="00277904">
      <w:pPr>
        <w:shd w:val="clear" w:color="auto" w:fill="FFFFFF"/>
        <w:spacing w:after="150"/>
        <w:ind w:left="2160" w:right="720"/>
        <w:jc w:val="both"/>
        <w:rPr>
          <w:rFonts w:eastAsia="Times New Roman"/>
          <w:b/>
          <w:bCs/>
          <w:color w:val="333333"/>
        </w:rPr>
      </w:pPr>
      <w:r w:rsidRPr="008A57AC">
        <w:rPr>
          <w:rFonts w:eastAsia="Times New Roman"/>
          <w:b/>
          <w:bCs/>
          <w:color w:val="333333"/>
        </w:rPr>
        <w:t xml:space="preserve">(F) </w:t>
      </w:r>
      <w:r w:rsidRPr="008A57AC">
        <w:rPr>
          <w:rFonts w:eastAsia="Times New Roman"/>
          <w:color w:val="333333"/>
        </w:rPr>
        <w:t>The individual and aggregate value of energy and capacity from qualifying facilities on the electric utility's system; and</w:t>
      </w:r>
    </w:p>
    <w:p w14:paraId="659040A7" w14:textId="77777777" w:rsidR="00507C82" w:rsidRPr="008A57AC" w:rsidRDefault="00507C82" w:rsidP="00277904">
      <w:pPr>
        <w:shd w:val="clear" w:color="auto" w:fill="FFFFFF"/>
        <w:spacing w:after="240"/>
        <w:ind w:left="2160" w:right="720"/>
        <w:jc w:val="both"/>
        <w:rPr>
          <w:rFonts w:eastAsia="Times New Roman"/>
          <w:b/>
          <w:bCs/>
          <w:color w:val="333333"/>
        </w:rPr>
      </w:pPr>
      <w:r w:rsidRPr="008A57AC">
        <w:rPr>
          <w:rFonts w:eastAsia="Times New Roman"/>
          <w:b/>
          <w:bCs/>
          <w:color w:val="333333"/>
        </w:rPr>
        <w:t xml:space="preserve">(G) </w:t>
      </w:r>
      <w:r w:rsidRPr="008A57AC">
        <w:rPr>
          <w:rFonts w:eastAsia="Times New Roman"/>
          <w:color w:val="333333"/>
        </w:rPr>
        <w:t>The smaller capacity increments and the shorter lead times available with additions of capacity from qualifying facilities</w:t>
      </w:r>
      <w:r w:rsidR="00377334">
        <w:rPr>
          <w:rFonts w:eastAsia="Times New Roman"/>
          <w:color w:val="333333"/>
        </w:rPr>
        <w:t>.</w:t>
      </w:r>
    </w:p>
    <w:p w14:paraId="6A0D3B54" w14:textId="77777777" w:rsidR="00507C82" w:rsidRDefault="00507C82" w:rsidP="00507C82">
      <w:pPr>
        <w:spacing w:line="480" w:lineRule="auto"/>
        <w:ind w:left="720"/>
        <w:jc w:val="both"/>
        <w:rPr>
          <w:rFonts w:eastAsiaTheme="minorHAnsi"/>
        </w:rPr>
      </w:pPr>
      <w:r>
        <w:t>Neither of these subsections makes reference to “firm” capacity. Paragraph (e)(2)(ii)(F) was specifically included in the PURPA rules by the FERC for the purpose of providing that facilities with variable generation be recognized as providing capacity:</w:t>
      </w:r>
    </w:p>
    <w:p w14:paraId="18A9FE9A" w14:textId="77777777" w:rsidR="00507C82" w:rsidRDefault="00507C82" w:rsidP="00277904">
      <w:pPr>
        <w:spacing w:after="240"/>
        <w:ind w:left="1440" w:right="720"/>
        <w:jc w:val="both"/>
      </w:pPr>
      <w:r>
        <w:rPr>
          <w:rFonts w:eastAsia="Calibri"/>
        </w:rPr>
        <w:t>This paragraph provides that rates for pu</w:t>
      </w:r>
      <w:r w:rsidR="00377334">
        <w:rPr>
          <w:rFonts w:eastAsia="Calibri"/>
        </w:rPr>
        <w:t xml:space="preserve">rchase </w:t>
      </w:r>
      <w:r w:rsidR="00377334" w:rsidRPr="00377334">
        <w:rPr>
          <w:rFonts w:eastAsia="Calibri"/>
          <w:i/>
        </w:rPr>
        <w:t>shall</w:t>
      </w:r>
      <w:r w:rsidR="00377334">
        <w:rPr>
          <w:rFonts w:eastAsia="Calibri"/>
        </w:rPr>
        <w:t xml:space="preserve"> take into account “</w:t>
      </w:r>
      <w:r>
        <w:rPr>
          <w:rFonts w:eastAsia="Calibri"/>
        </w:rPr>
        <w:t xml:space="preserve">the individual and aggregate value of energy and capacity from qualifying facilities on </w:t>
      </w:r>
      <w:r w:rsidR="00377334">
        <w:rPr>
          <w:rFonts w:eastAsia="Calibri"/>
        </w:rPr>
        <w:t>the electric utility's system …</w:t>
      </w:r>
      <w:proofErr w:type="gramStart"/>
      <w:r w:rsidR="00377334">
        <w:rPr>
          <w:rFonts w:eastAsia="Calibri"/>
        </w:rPr>
        <w:t>”</w:t>
      </w:r>
      <w:r>
        <w:rPr>
          <w:rFonts w:eastAsia="Calibri"/>
        </w:rPr>
        <w:t>.</w:t>
      </w:r>
      <w:proofErr w:type="gramEnd"/>
      <w:r>
        <w:rPr>
          <w:rFonts w:eastAsia="Calibri"/>
        </w:rPr>
        <w:t xml:space="preserve"> Several commenters presented persuasive evidence showing that an effective amount of capacity may be provided by dispersed small systems, even in the case where delivery of energy from any particular facility is stochastic. … </w:t>
      </w:r>
      <w:bookmarkStart w:id="24" w:name="_Hlk50921289"/>
      <w:r>
        <w:rPr>
          <w:rFonts w:eastAsia="Calibri"/>
        </w:rPr>
        <w:t xml:space="preserve">To the extent that this </w:t>
      </w:r>
      <w:r>
        <w:rPr>
          <w:rFonts w:eastAsia="Calibri"/>
        </w:rPr>
        <w:lastRenderedPageBreak/>
        <w:t xml:space="preserve">aggregate capacity value can be reasonably estimated, it </w:t>
      </w:r>
      <w:r w:rsidRPr="00377334">
        <w:rPr>
          <w:rFonts w:eastAsia="Calibri"/>
          <w:i/>
        </w:rPr>
        <w:t>must</w:t>
      </w:r>
      <w:r>
        <w:rPr>
          <w:rFonts w:eastAsia="Calibri"/>
        </w:rPr>
        <w:t xml:space="preserve"> be reflected in standard rates for purchases</w:t>
      </w:r>
      <w:bookmarkEnd w:id="24"/>
      <w:r>
        <w:rPr>
          <w:rFonts w:eastAsia="Calibri"/>
        </w:rPr>
        <w:t>.</w:t>
      </w:r>
      <w:r>
        <w:rPr>
          <w:rStyle w:val="FootnoteReference"/>
          <w:rFonts w:eastAsia="Calibri"/>
        </w:rPr>
        <w:footnoteReference w:id="29"/>
      </w:r>
    </w:p>
    <w:p w14:paraId="4C9921CD" w14:textId="77777777" w:rsidR="00507C82" w:rsidRDefault="00507C82" w:rsidP="00507C82">
      <w:pPr>
        <w:spacing w:line="480" w:lineRule="auto"/>
        <w:ind w:left="720" w:hanging="720"/>
        <w:jc w:val="both"/>
      </w:pPr>
      <w:r>
        <w:tab/>
        <w:t>A requirement that capacity be “firm” in order to receive credit for avoided costs is therefore expressly contrary to the FERC’s PURPA rules.</w:t>
      </w:r>
      <w:r w:rsidR="00377334">
        <w:t xml:space="preserve"> On the other hand, FERC is clear that capacity value must be included in QF rates to the extent it can </w:t>
      </w:r>
      <w:r w:rsidR="00277904">
        <w:t xml:space="preserve">reasonably </w:t>
      </w:r>
      <w:r w:rsidR="00377334">
        <w:t xml:space="preserve">be estimated. </w:t>
      </w:r>
    </w:p>
    <w:p w14:paraId="29B296BB" w14:textId="77777777" w:rsidR="00507C82" w:rsidRDefault="00507C82" w:rsidP="00507C82">
      <w:pPr>
        <w:keepNext/>
        <w:widowControl w:val="0"/>
        <w:spacing w:line="480" w:lineRule="auto"/>
        <w:ind w:left="720" w:hanging="720"/>
        <w:jc w:val="both"/>
        <w:rPr>
          <w:b/>
        </w:rPr>
      </w:pPr>
      <w:r>
        <w:rPr>
          <w:b/>
        </w:rPr>
        <w:t>Q.</w:t>
      </w:r>
      <w:r>
        <w:rPr>
          <w:b/>
        </w:rPr>
        <w:tab/>
        <w:t>Can the effective aggregate capacity value provided by numerous dispersed systems be reasonably estimated?</w:t>
      </w:r>
    </w:p>
    <w:p w14:paraId="1A66DA56" w14:textId="77777777" w:rsidR="00743E2E" w:rsidRDefault="00507C82" w:rsidP="00D503DE">
      <w:pPr>
        <w:spacing w:line="480" w:lineRule="auto"/>
        <w:ind w:left="720" w:hanging="720"/>
        <w:jc w:val="both"/>
      </w:pPr>
      <w:r>
        <w:t>A.</w:t>
      </w:r>
      <w:r>
        <w:tab/>
        <w:t>Yes. This is commonly done across the United States, in the context of IRPs, RTO resource adequacy standards or capacity markets, and in setting PURPA avoided costs. In our direct testimony and cross examination thereon, we cited examples from Nevada and California,</w:t>
      </w:r>
      <w:r w:rsidR="00B624EB">
        <w:t xml:space="preserve"> </w:t>
      </w:r>
      <w:r w:rsidR="000807BA">
        <w:t xml:space="preserve">MISO, </w:t>
      </w:r>
      <w:r w:rsidR="00B624EB">
        <w:t xml:space="preserve">and </w:t>
      </w:r>
      <w:r w:rsidR="000807BA">
        <w:t>the PJM Interconnect</w:t>
      </w:r>
      <w:r>
        <w:t>. We also note that this has been done in Georgia Power’s IRPs.</w:t>
      </w:r>
      <w:r>
        <w:rPr>
          <w:rStyle w:val="FootnoteReference"/>
        </w:rPr>
        <w:footnoteReference w:id="30"/>
      </w:r>
    </w:p>
    <w:p w14:paraId="08C015DE" w14:textId="7919884C" w:rsidR="00507C82" w:rsidRPr="00BC36A4" w:rsidRDefault="00507C82" w:rsidP="00BC36A4">
      <w:pPr>
        <w:spacing w:line="480" w:lineRule="auto"/>
        <w:ind w:left="720" w:hanging="720"/>
        <w:jc w:val="both"/>
      </w:pPr>
      <w:r>
        <w:rPr>
          <w:b/>
        </w:rPr>
        <w:t>Q.</w:t>
      </w:r>
      <w:r w:rsidR="00D503DE">
        <w:rPr>
          <w:b/>
        </w:rPr>
        <w:t xml:space="preserve">        </w:t>
      </w:r>
      <w:r>
        <w:rPr>
          <w:b/>
        </w:rPr>
        <w:t>Are there common methods by which this aggregate capacity value can be estimated?</w:t>
      </w:r>
    </w:p>
    <w:p w14:paraId="4C138C3C" w14:textId="77777777" w:rsidR="00507C82" w:rsidRDefault="00507C82" w:rsidP="00507C82">
      <w:pPr>
        <w:spacing w:line="480" w:lineRule="auto"/>
        <w:ind w:left="720" w:hanging="720"/>
        <w:jc w:val="both"/>
      </w:pPr>
      <w:r>
        <w:t>A.</w:t>
      </w:r>
      <w:r>
        <w:tab/>
        <w:t>Yes. In most instances, the capacity value of solar and other intermittent generation is attributed either based on their average contribution at the time of system peak or by analysis of their Eff</w:t>
      </w:r>
      <w:r w:rsidR="000807BA">
        <w:t>ective Load Carrying Capacity (</w:t>
      </w:r>
      <w:r>
        <w:t>ELC</w:t>
      </w:r>
      <w:r w:rsidR="000807BA">
        <w:t>C</w:t>
      </w:r>
      <w:r>
        <w:t>). In the context of significant intermittent generation in which reliability risks may not occur at the system peak, we think that ELCC is the more appropriate method.</w:t>
      </w:r>
    </w:p>
    <w:p w14:paraId="24F7C88B" w14:textId="77777777" w:rsidR="00507C82" w:rsidRDefault="00507C82" w:rsidP="00507C82">
      <w:pPr>
        <w:keepNext/>
        <w:widowControl w:val="0"/>
        <w:spacing w:line="480" w:lineRule="auto"/>
        <w:ind w:left="720" w:hanging="720"/>
        <w:jc w:val="both"/>
        <w:rPr>
          <w:b/>
        </w:rPr>
      </w:pPr>
      <w:r>
        <w:rPr>
          <w:b/>
        </w:rPr>
        <w:t>Q.</w:t>
      </w:r>
      <w:r>
        <w:rPr>
          <w:b/>
        </w:rPr>
        <w:tab/>
        <w:t>How is ELCC determined?</w:t>
      </w:r>
    </w:p>
    <w:p w14:paraId="50D541CE" w14:textId="77777777" w:rsidR="00507C82" w:rsidRDefault="00507C82" w:rsidP="00507C82">
      <w:pPr>
        <w:spacing w:line="480" w:lineRule="auto"/>
        <w:ind w:left="720" w:hanging="720"/>
        <w:jc w:val="both"/>
      </w:pPr>
      <w:r>
        <w:t>A.</w:t>
      </w:r>
      <w:r>
        <w:tab/>
        <w:t xml:space="preserve">Capacity requirements are generally calculated by modeling the resources needed to achieve some level of reliability in the bulk power supply. ELCC is determined by </w:t>
      </w:r>
      <w:r>
        <w:lastRenderedPageBreak/>
        <w:t xml:space="preserve">determining the amount of </w:t>
      </w:r>
      <w:r w:rsidR="009B4C03">
        <w:t xml:space="preserve">firm </w:t>
      </w:r>
      <w:r>
        <w:t>capacity</w:t>
      </w:r>
      <w:r w:rsidR="004D74B9">
        <w:t xml:space="preserve"> that can be avoided to meet that same level of reliability given that the intermittent generation is available. </w:t>
      </w:r>
      <w:r w:rsidR="00463BF6">
        <w:t>This is done by calculating the firm capacity that would be needed</w:t>
      </w:r>
      <w:r w:rsidR="0099319D">
        <w:t xml:space="preserve"> to meet the reliability standard absent</w:t>
      </w:r>
      <w:r>
        <w:t xml:space="preserve"> the intermittent generation and comparing that to the amount of </w:t>
      </w:r>
      <w:r w:rsidR="00A75E2F">
        <w:t xml:space="preserve">firm </w:t>
      </w:r>
      <w:r>
        <w:t xml:space="preserve">capacity that would be needed to meet the reliability standard </w:t>
      </w:r>
      <w:r w:rsidR="008A57AC">
        <w:t>given</w:t>
      </w:r>
      <w:r>
        <w:t xml:space="preserve"> the availability of the intermittent generation. That difference is the ELCC of the intermittent generation.</w:t>
      </w:r>
    </w:p>
    <w:p w14:paraId="204A565A" w14:textId="77777777" w:rsidR="00507C82" w:rsidRDefault="00507C82" w:rsidP="00507C82">
      <w:pPr>
        <w:keepNext/>
        <w:widowControl w:val="0"/>
        <w:spacing w:line="480" w:lineRule="auto"/>
        <w:ind w:left="720" w:hanging="720"/>
        <w:jc w:val="both"/>
        <w:rPr>
          <w:b/>
        </w:rPr>
      </w:pPr>
      <w:r>
        <w:rPr>
          <w:b/>
        </w:rPr>
        <w:t>Q.</w:t>
      </w:r>
      <w:r>
        <w:rPr>
          <w:b/>
        </w:rPr>
        <w:tab/>
        <w:t>In practice, how does intermittent generation contribute to reliability?</w:t>
      </w:r>
    </w:p>
    <w:p w14:paraId="5EDF7E5B" w14:textId="77777777" w:rsidR="00507C82" w:rsidRDefault="00507C82" w:rsidP="00507C82">
      <w:pPr>
        <w:spacing w:line="480" w:lineRule="auto"/>
        <w:ind w:left="720" w:hanging="720"/>
        <w:jc w:val="both"/>
      </w:pPr>
      <w:r>
        <w:t>A.</w:t>
      </w:r>
      <w:r>
        <w:tab/>
        <w:t>By providing power during times when there would be loss of load probability in the absence of that power.</w:t>
      </w:r>
    </w:p>
    <w:p w14:paraId="3EFF43B9" w14:textId="77777777" w:rsidR="00507C82" w:rsidRDefault="00507C82" w:rsidP="00507C82">
      <w:pPr>
        <w:keepNext/>
        <w:widowControl w:val="0"/>
        <w:spacing w:line="480" w:lineRule="auto"/>
        <w:ind w:left="720" w:hanging="720"/>
        <w:jc w:val="both"/>
        <w:rPr>
          <w:b/>
        </w:rPr>
      </w:pPr>
      <w:r>
        <w:rPr>
          <w:b/>
        </w:rPr>
        <w:t>Q.</w:t>
      </w:r>
      <w:r>
        <w:rPr>
          <w:b/>
        </w:rPr>
        <w:tab/>
        <w:t>Can ELCC be measured based on the generation from intermittent resources at times when load is high?</w:t>
      </w:r>
    </w:p>
    <w:p w14:paraId="071C2BB1" w14:textId="0392E013" w:rsidR="00743E2E" w:rsidRPr="00743E2E" w:rsidRDefault="00507C82" w:rsidP="00743E2E">
      <w:pPr>
        <w:spacing w:line="480" w:lineRule="auto"/>
        <w:ind w:left="720" w:hanging="720"/>
        <w:jc w:val="both"/>
      </w:pPr>
      <w:r>
        <w:t>A.</w:t>
      </w:r>
      <w:r>
        <w:tab/>
        <w:t xml:space="preserve">Not necessarily. If </w:t>
      </w:r>
      <w:r w:rsidR="00377334">
        <w:t>traditional</w:t>
      </w:r>
      <w:r>
        <w:t xml:space="preserve"> generation resources are available when load is high but </w:t>
      </w:r>
      <w:r w:rsidR="00377334">
        <w:t xml:space="preserve">not </w:t>
      </w:r>
      <w:r>
        <w:t>when load is lower, generation from intermittent resources at the time when load is lower may be more important. For example, nuclear plants are commonly scheduled for refueling and other maintenance in shoulder seasons. During those maintenance outages, loss of load probability may be higher than at the time of peak load. In these circumstances the ELCC of intermittent resources may be determined largely by their contributions during the maintenance outages of the nuclear resources.</w:t>
      </w:r>
      <w:r>
        <w:rPr>
          <w:rStyle w:val="FootnoteReference"/>
        </w:rPr>
        <w:footnoteReference w:id="31"/>
      </w:r>
      <w:r w:rsidR="00743E2E">
        <w:rPr>
          <w:b/>
        </w:rPr>
        <w:br w:type="page"/>
      </w:r>
    </w:p>
    <w:p w14:paraId="65446E41" w14:textId="03EBC61E" w:rsidR="00507C82" w:rsidRDefault="00507C82" w:rsidP="00507C82">
      <w:pPr>
        <w:keepNext/>
        <w:widowControl w:val="0"/>
        <w:spacing w:line="480" w:lineRule="auto"/>
        <w:ind w:left="720" w:hanging="720"/>
        <w:jc w:val="both"/>
        <w:rPr>
          <w:b/>
        </w:rPr>
      </w:pPr>
      <w:r>
        <w:rPr>
          <w:b/>
        </w:rPr>
        <w:lastRenderedPageBreak/>
        <w:t>Q.</w:t>
      </w:r>
      <w:r>
        <w:rPr>
          <w:b/>
        </w:rPr>
        <w:tab/>
        <w:t>Can ELCC be measured based on the generation from intermittent resources at times when loss of load probability is high in the current generation portfolio?</w:t>
      </w:r>
    </w:p>
    <w:p w14:paraId="0D46AC54" w14:textId="77777777" w:rsidR="00507C82" w:rsidRDefault="00507C82" w:rsidP="00507C82">
      <w:pPr>
        <w:spacing w:line="480" w:lineRule="auto"/>
        <w:ind w:left="720" w:hanging="720"/>
        <w:jc w:val="both"/>
      </w:pPr>
      <w:r>
        <w:t>A.</w:t>
      </w:r>
      <w:r>
        <w:tab/>
        <w:t xml:space="preserve">Only when intermittent resources are a small part of generation. When intermittent resources are a large part of generation, they may provide a great deal of power and thereby eliminate loss of load probability at times when loss of load probability would otherwise be high. For example, in a system with strong summer afternoon peak and a large amount of solar generation, the loss of load probability on summer afternoons may be very small (effectively zero) when it would be very high absent the solar generation. </w:t>
      </w:r>
    </w:p>
    <w:p w14:paraId="6B4DB787" w14:textId="77777777" w:rsidR="00507C82" w:rsidRDefault="00507C82" w:rsidP="00507C82">
      <w:pPr>
        <w:keepNext/>
        <w:widowControl w:val="0"/>
        <w:spacing w:line="480" w:lineRule="auto"/>
        <w:ind w:left="720" w:hanging="720"/>
        <w:jc w:val="both"/>
        <w:rPr>
          <w:b/>
        </w:rPr>
      </w:pPr>
      <w:r>
        <w:rPr>
          <w:b/>
        </w:rPr>
        <w:t>Q.</w:t>
      </w:r>
      <w:r>
        <w:rPr>
          <w:b/>
        </w:rPr>
        <w:tab/>
        <w:t>If generation is firm, what is its ELCC?</w:t>
      </w:r>
    </w:p>
    <w:p w14:paraId="1F86ABE8" w14:textId="77777777" w:rsidR="00507C82" w:rsidRDefault="00507C82" w:rsidP="00507C82">
      <w:pPr>
        <w:spacing w:line="480" w:lineRule="auto"/>
        <w:ind w:left="720" w:hanging="720"/>
        <w:jc w:val="both"/>
      </w:pPr>
      <w:r>
        <w:t>A.</w:t>
      </w:r>
      <w:r>
        <w:tab/>
        <w:t>Even generation that is commonly considered as firm is not always available, due to both maintenance and forced outages. If maintenance of firm generation is reliably scheduled at times when there is no material loss of load probability, then the ELCC will just be 100% less the forced outage rate in the time period when loss of load probability is material.</w:t>
      </w:r>
      <w:r>
        <w:rPr>
          <w:rStyle w:val="FootnoteReference"/>
        </w:rPr>
        <w:footnoteReference w:id="32"/>
      </w:r>
      <w:r>
        <w:t xml:space="preserve"> If maintenance of firm generation is sometimes scheduled when there is material loss of load probability, then ELCC will be reduced as a result of that lost contribution to reliability and must be assessed by the same methods by which ELCC is calculated for intermittent resources.</w:t>
      </w:r>
    </w:p>
    <w:p w14:paraId="0C7DB27C" w14:textId="77777777" w:rsidR="00507C82" w:rsidRDefault="00507C82" w:rsidP="00507C82">
      <w:pPr>
        <w:keepNext/>
        <w:widowControl w:val="0"/>
        <w:spacing w:line="480" w:lineRule="auto"/>
        <w:ind w:left="720" w:hanging="720"/>
        <w:jc w:val="both"/>
        <w:rPr>
          <w:b/>
        </w:rPr>
      </w:pPr>
      <w:r>
        <w:rPr>
          <w:b/>
        </w:rPr>
        <w:t>Q.</w:t>
      </w:r>
      <w:r>
        <w:rPr>
          <w:b/>
        </w:rPr>
        <w:tab/>
        <w:t>Must generation be dispatchable in order to provide capacity?</w:t>
      </w:r>
    </w:p>
    <w:p w14:paraId="4D34F24C" w14:textId="77777777" w:rsidR="00507C82" w:rsidRDefault="00507C82" w:rsidP="00507C82">
      <w:pPr>
        <w:spacing w:line="480" w:lineRule="auto"/>
        <w:ind w:left="720" w:hanging="720"/>
        <w:jc w:val="both"/>
      </w:pPr>
      <w:r>
        <w:t>A.</w:t>
      </w:r>
      <w:r>
        <w:tab/>
        <w:t xml:space="preserve">No. If generation is producing energy at the time of material loss of load probability, it will provide capacity value even if it is not dispatchable. In fact, much of the nuclear and fossil generation that is commonly attributed capacity value is not dispatchable in a meaningful sense during times of material loss of load probability, generally because it is already </w:t>
      </w:r>
      <w:r>
        <w:lastRenderedPageBreak/>
        <w:t>generating at such times. In general, those resources that have low variable costs of generation and are therefore “dispatched” to meet projected load will be producing at or near their current capacity during these times. Resources that are contractually inflexible (e.g., combined heat and power) or physically inflexible (large steam plants) may also be producing at or near their current capacity during those times, even if they are not low-cost. They are not therefore assigned zero capacity value, but rather are assigned capacity value based on their expected level of generation at the times of material loss of load probability. That is true of intermittent resources as well. Capacity value should not be confused with dispatchability and therefore associated with peaking resources.</w:t>
      </w:r>
    </w:p>
    <w:p w14:paraId="034030BE" w14:textId="77777777" w:rsidR="00507C82" w:rsidRDefault="00507C82" w:rsidP="00507C82">
      <w:pPr>
        <w:keepNext/>
        <w:widowControl w:val="0"/>
        <w:spacing w:line="480" w:lineRule="auto"/>
        <w:ind w:left="720" w:hanging="720"/>
        <w:jc w:val="both"/>
        <w:rPr>
          <w:b/>
        </w:rPr>
      </w:pPr>
      <w:r>
        <w:rPr>
          <w:b/>
        </w:rPr>
        <w:t>Q.</w:t>
      </w:r>
      <w:r>
        <w:rPr>
          <w:b/>
        </w:rPr>
        <w:tab/>
        <w:t>Georgia Power has represented that it has loss of load probability in winter as well as summer. Does that mean that solar generation that is seasonally productive does not have significant ELCC?</w:t>
      </w:r>
    </w:p>
    <w:p w14:paraId="509AA869" w14:textId="77777777" w:rsidR="00507C82" w:rsidRPr="00DF51BA" w:rsidRDefault="00507C82" w:rsidP="00507C82">
      <w:pPr>
        <w:spacing w:line="480" w:lineRule="auto"/>
        <w:ind w:left="720" w:hanging="720"/>
        <w:jc w:val="both"/>
      </w:pPr>
      <w:r>
        <w:t>A.</w:t>
      </w:r>
      <w:r>
        <w:tab/>
        <w:t xml:space="preserve">No. To the extent that solar generation reduces loss of load probability in summer, it improves overall system reliability. </w:t>
      </w:r>
      <w:r w:rsidR="00885358" w:rsidRPr="00277904">
        <w:t>If enough solar is added that loss of load probability shifts away from summer and into winter, that does not mean that the solar generation has ceased to provide improved reliability, only that incremental solar is less valuable because of the effectiveness of the solar that preceded it.</w:t>
      </w:r>
    </w:p>
    <w:p w14:paraId="583BB79C" w14:textId="77777777" w:rsidR="0067273C" w:rsidRPr="00C2292D" w:rsidRDefault="008463AD" w:rsidP="002F12B7">
      <w:pPr>
        <w:shd w:val="clear" w:color="auto" w:fill="FFFFFF"/>
        <w:spacing w:line="480" w:lineRule="auto"/>
        <w:ind w:left="720" w:hanging="720"/>
        <w:jc w:val="both"/>
        <w:rPr>
          <w:rFonts w:eastAsia="Times New Roman"/>
          <w:b/>
          <w:bCs/>
          <w:color w:val="000000"/>
          <w:lang w:eastAsia="en-US"/>
        </w:rPr>
      </w:pPr>
      <w:r>
        <w:rPr>
          <w:rFonts w:eastAsia="Times New Roman"/>
          <w:b/>
          <w:bCs/>
          <w:color w:val="000000"/>
          <w:lang w:eastAsia="en-US"/>
        </w:rPr>
        <w:t>Q.</w:t>
      </w:r>
      <w:r>
        <w:rPr>
          <w:rFonts w:eastAsia="Times New Roman"/>
          <w:b/>
          <w:bCs/>
          <w:color w:val="000000"/>
          <w:lang w:eastAsia="en-US"/>
        </w:rPr>
        <w:tab/>
        <w:t xml:space="preserve">How do you recommend that Georgia Power </w:t>
      </w:r>
      <w:r w:rsidR="0067273C" w:rsidRPr="00C2292D">
        <w:rPr>
          <w:rFonts w:eastAsia="Times New Roman"/>
          <w:b/>
          <w:bCs/>
          <w:color w:val="000000"/>
          <w:lang w:eastAsia="en-US"/>
        </w:rPr>
        <w:t>account for the capacity value these generators will inevitably provide if they remain with the system?</w:t>
      </w:r>
    </w:p>
    <w:p w14:paraId="05FFC8FF" w14:textId="77777777" w:rsidR="0067273C" w:rsidRPr="00C2292D" w:rsidRDefault="0067273C" w:rsidP="00277904">
      <w:pPr>
        <w:shd w:val="clear" w:color="auto" w:fill="FFFFFF"/>
        <w:spacing w:line="480" w:lineRule="auto"/>
        <w:ind w:left="720" w:hanging="720"/>
        <w:jc w:val="both"/>
        <w:rPr>
          <w:rFonts w:eastAsia="Times New Roman"/>
          <w:color w:val="000000"/>
          <w:lang w:eastAsia="en-US"/>
        </w:rPr>
      </w:pPr>
      <w:r w:rsidRPr="00C2292D">
        <w:rPr>
          <w:rFonts w:eastAsia="Times New Roman"/>
          <w:color w:val="000000"/>
          <w:lang w:eastAsia="en-US"/>
        </w:rPr>
        <w:t>A.</w:t>
      </w:r>
      <w:r w:rsidRPr="00C2292D">
        <w:rPr>
          <w:rFonts w:eastAsia="Times New Roman"/>
          <w:color w:val="000000"/>
          <w:lang w:eastAsia="en-US"/>
        </w:rPr>
        <w:tab/>
        <w:t>A contracting pathway needs to be established to credit these generators for predictable capacity they will provide at the time that it begins to de</w:t>
      </w:r>
      <w:r w:rsidR="008463AD">
        <w:rPr>
          <w:rFonts w:eastAsia="Times New Roman"/>
          <w:color w:val="000000"/>
          <w:lang w:eastAsia="en-US"/>
        </w:rPr>
        <w:t xml:space="preserve">monstrate value to the system. </w:t>
      </w:r>
      <w:r w:rsidR="008463AD" w:rsidRPr="00F424D3">
        <w:rPr>
          <w:rFonts w:eastAsia="Times New Roman"/>
          <w:color w:val="000000"/>
          <w:lang w:eastAsia="en-US"/>
        </w:rPr>
        <w:t>We recommend that the standard offer contract</w:t>
      </w:r>
      <w:r w:rsidRPr="00F424D3">
        <w:rPr>
          <w:rFonts w:eastAsia="Times New Roman"/>
          <w:color w:val="000000"/>
          <w:lang w:eastAsia="en-US"/>
        </w:rPr>
        <w:t xml:space="preserve"> be amended to provide terms that require </w:t>
      </w:r>
      <w:r w:rsidRPr="00F424D3">
        <w:rPr>
          <w:rFonts w:eastAsia="Times New Roman"/>
          <w:color w:val="000000"/>
          <w:lang w:eastAsia="en-US"/>
        </w:rPr>
        <w:lastRenderedPageBreak/>
        <w:t>capacity payments in the first year of need as projected by the Company when the contract is entered.</w:t>
      </w:r>
      <w:r w:rsidRPr="008463AD">
        <w:rPr>
          <w:rFonts w:eastAsia="Times New Roman"/>
          <w:b/>
          <w:color w:val="000000"/>
          <w:lang w:eastAsia="en-US"/>
        </w:rPr>
        <w:t xml:space="preserve"> </w:t>
      </w:r>
      <w:r w:rsidRPr="00C2292D">
        <w:rPr>
          <w:rFonts w:eastAsia="Times New Roman"/>
          <w:color w:val="000000"/>
          <w:lang w:eastAsia="en-US"/>
        </w:rPr>
        <w:t xml:space="preserve">This </w:t>
      </w:r>
      <w:r w:rsidR="008463AD">
        <w:rPr>
          <w:rFonts w:eastAsia="Times New Roman"/>
          <w:color w:val="000000"/>
          <w:lang w:eastAsia="en-US"/>
        </w:rPr>
        <w:t xml:space="preserve">approach </w:t>
      </w:r>
      <w:r w:rsidRPr="00C2292D">
        <w:rPr>
          <w:rFonts w:eastAsia="Times New Roman"/>
          <w:color w:val="000000"/>
          <w:lang w:eastAsia="en-US"/>
        </w:rPr>
        <w:t>would have two benefits:</w:t>
      </w:r>
    </w:p>
    <w:p w14:paraId="40CE92A3" w14:textId="77777777" w:rsidR="0067273C" w:rsidRPr="00C2292D" w:rsidRDefault="0067273C" w:rsidP="00743E2E">
      <w:pPr>
        <w:numPr>
          <w:ilvl w:val="0"/>
          <w:numId w:val="68"/>
        </w:numPr>
        <w:shd w:val="clear" w:color="auto" w:fill="FFFFFF"/>
        <w:tabs>
          <w:tab w:val="left" w:pos="1440"/>
        </w:tabs>
        <w:spacing w:before="100" w:beforeAutospacing="1" w:after="100" w:afterAutospacing="1" w:line="480" w:lineRule="auto"/>
        <w:ind w:left="1440"/>
        <w:contextualSpacing/>
        <w:jc w:val="both"/>
        <w:rPr>
          <w:rFonts w:eastAsia="Times New Roman"/>
          <w:color w:val="000000"/>
          <w:lang w:eastAsia="en-US"/>
        </w:rPr>
      </w:pPr>
      <w:r w:rsidRPr="00C2292D">
        <w:rPr>
          <w:rFonts w:eastAsia="Times New Roman"/>
          <w:color w:val="000000"/>
          <w:lang w:eastAsia="en-US"/>
        </w:rPr>
        <w:t xml:space="preserve">It would incentivize standard offer solar generators entering the contract to </w:t>
      </w:r>
      <w:r w:rsidR="003A703A">
        <w:rPr>
          <w:rFonts w:eastAsia="Times New Roman"/>
          <w:color w:val="000000"/>
          <w:lang w:eastAsia="en-US"/>
        </w:rPr>
        <w:br/>
      </w:r>
      <w:r w:rsidRPr="00C2292D">
        <w:rPr>
          <w:rFonts w:eastAsia="Times New Roman"/>
          <w:color w:val="000000"/>
          <w:lang w:eastAsia="en-US"/>
        </w:rPr>
        <w:t>enter long-term agreements, thereby eliminating the concern that the generator could leave the Georgia Power system in the following year and create planning concerns, and</w:t>
      </w:r>
    </w:p>
    <w:p w14:paraId="4FDC534D" w14:textId="77777777" w:rsidR="00394494" w:rsidRPr="00974723" w:rsidRDefault="0067273C" w:rsidP="00743E2E">
      <w:pPr>
        <w:numPr>
          <w:ilvl w:val="0"/>
          <w:numId w:val="68"/>
        </w:numPr>
        <w:shd w:val="clear" w:color="auto" w:fill="FFFFFF"/>
        <w:tabs>
          <w:tab w:val="left" w:pos="1440"/>
        </w:tabs>
        <w:spacing w:before="100" w:beforeAutospacing="1" w:after="100" w:afterAutospacing="1" w:line="480" w:lineRule="auto"/>
        <w:ind w:left="1440"/>
        <w:contextualSpacing/>
        <w:jc w:val="both"/>
        <w:rPr>
          <w:rFonts w:eastAsia="Times New Roman"/>
          <w:color w:val="000000"/>
          <w:lang w:eastAsia="en-US"/>
        </w:rPr>
      </w:pPr>
      <w:r w:rsidRPr="00C2292D">
        <w:rPr>
          <w:rFonts w:eastAsia="Times New Roman"/>
          <w:color w:val="000000"/>
          <w:lang w:eastAsia="en-US"/>
        </w:rPr>
        <w:t>It would provide additional incentive for accurate year-of-need forecasts.</w:t>
      </w:r>
      <w:r w:rsidR="003A703A">
        <w:rPr>
          <w:rFonts w:eastAsia="Times New Roman"/>
          <w:color w:val="000000"/>
          <w:lang w:eastAsia="en-US"/>
        </w:rPr>
        <w:t xml:space="preserve"> </w:t>
      </w:r>
      <w:r w:rsidR="003A703A">
        <w:rPr>
          <w:rFonts w:eastAsia="Times New Roman"/>
          <w:color w:val="000000"/>
          <w:lang w:eastAsia="en-US"/>
        </w:rPr>
        <w:br/>
      </w:r>
      <w:r w:rsidRPr="00974723">
        <w:rPr>
          <w:rFonts w:eastAsia="Times New Roman"/>
          <w:color w:val="000000"/>
          <w:lang w:eastAsia="en-US"/>
        </w:rPr>
        <w:t>These adjustments would help create incentives for all parties to receive appropriate compensation for the value they provid</w:t>
      </w:r>
      <w:r w:rsidR="00BB5CD8" w:rsidRPr="00974723">
        <w:rPr>
          <w:rFonts w:eastAsia="Times New Roman"/>
          <w:color w:val="000000"/>
          <w:lang w:eastAsia="en-US"/>
        </w:rPr>
        <w:t>e to the system and ratepayers.</w:t>
      </w:r>
    </w:p>
    <w:p w14:paraId="527493E1" w14:textId="77777777" w:rsidR="00094659" w:rsidRDefault="00094659" w:rsidP="00633B83">
      <w:pPr>
        <w:shd w:val="clear" w:color="auto" w:fill="FFFFFF"/>
        <w:spacing w:line="480" w:lineRule="auto"/>
        <w:jc w:val="both"/>
        <w:rPr>
          <w:rFonts w:eastAsia="Times New Roman"/>
          <w:b/>
          <w:color w:val="000000"/>
          <w:lang w:eastAsia="en-US"/>
        </w:rPr>
      </w:pPr>
      <w:r w:rsidRPr="002F12B7">
        <w:rPr>
          <w:rFonts w:eastAsia="Times New Roman"/>
          <w:b/>
          <w:color w:val="000000"/>
          <w:lang w:eastAsia="en-US"/>
        </w:rPr>
        <w:t>Q.</w:t>
      </w:r>
      <w:r w:rsidRPr="002F12B7">
        <w:rPr>
          <w:rFonts w:eastAsia="Times New Roman"/>
          <w:b/>
          <w:color w:val="000000"/>
          <w:lang w:eastAsia="en-US"/>
        </w:rPr>
        <w:tab/>
        <w:t xml:space="preserve">What about QFs participating in the RNR tariff? </w:t>
      </w:r>
    </w:p>
    <w:p w14:paraId="24BC1ECD" w14:textId="77777777" w:rsidR="00743E2E" w:rsidRDefault="00094659" w:rsidP="00743E2E">
      <w:pPr>
        <w:shd w:val="clear" w:color="auto" w:fill="FFFFFF"/>
        <w:spacing w:line="480" w:lineRule="auto"/>
        <w:ind w:left="720" w:hanging="720"/>
        <w:jc w:val="both"/>
        <w:rPr>
          <w:rFonts w:eastAsia="Times New Roman"/>
          <w:color w:val="000000"/>
          <w:lang w:eastAsia="en-US"/>
        </w:rPr>
      </w:pPr>
      <w:r>
        <w:rPr>
          <w:rFonts w:eastAsia="Times New Roman"/>
          <w:color w:val="000000"/>
          <w:lang w:eastAsia="en-US"/>
        </w:rPr>
        <w:t>A.</w:t>
      </w:r>
      <w:r>
        <w:rPr>
          <w:rFonts w:eastAsia="Times New Roman"/>
          <w:color w:val="000000"/>
          <w:lang w:eastAsia="en-US"/>
        </w:rPr>
        <w:tab/>
      </w:r>
      <w:r w:rsidR="00920D42">
        <w:rPr>
          <w:rFonts w:eastAsia="Times New Roman"/>
          <w:color w:val="000000"/>
          <w:lang w:eastAsia="en-US"/>
        </w:rPr>
        <w:t xml:space="preserve">The RNR tariff could similarly be modified to indicate that capacity payments are available in the first year of the Company’s projected capacity need. While the RNR tariff is not one of the three standard contract options, it is a standard offering that requires, among other things, for the QF to enter into a written RNR Service Agreement with the Company prior to interconnection and prior to any receipt of compensation.  In addition, the RNR customer must enter a written interconnection agreement with the Company prior to being allowed to interconnect. In short, the RNR tariff is itself a form of contract that establishes the terms and conditions of participation, which include the execution of other agreements. Hence, it too could be amended to provide a vehicle for capacity value compensation, as PURPA requires. </w:t>
      </w:r>
    </w:p>
    <w:p w14:paraId="5E4926F4" w14:textId="324BE5D0" w:rsidR="00920D42" w:rsidRPr="00094659" w:rsidRDefault="00920D42" w:rsidP="00743E2E">
      <w:pPr>
        <w:shd w:val="clear" w:color="auto" w:fill="FFFFFF"/>
        <w:spacing w:line="480" w:lineRule="auto"/>
        <w:ind w:left="720"/>
        <w:jc w:val="both"/>
        <w:rPr>
          <w:rFonts w:eastAsia="Times New Roman"/>
          <w:color w:val="000000"/>
          <w:lang w:eastAsia="en-US"/>
        </w:rPr>
      </w:pPr>
      <w:r>
        <w:rPr>
          <w:rFonts w:eastAsia="Times New Roman"/>
          <w:color w:val="000000"/>
          <w:lang w:eastAsia="en-US"/>
        </w:rPr>
        <w:t xml:space="preserve">It’s also worth noting that given the size limitations built into the RNR tariff, the impact of any individual RNR customer suddenly leaving the system (which is unlikely given the trouble and expense required to install a customer-sited system) is not significant. </w:t>
      </w:r>
    </w:p>
    <w:p w14:paraId="37685A33" w14:textId="77777777" w:rsidR="0066462C" w:rsidRPr="00E6242A" w:rsidRDefault="0066462C" w:rsidP="00633B83">
      <w:pPr>
        <w:pStyle w:val="OutlineL1"/>
        <w:numPr>
          <w:ilvl w:val="0"/>
          <w:numId w:val="72"/>
        </w:numPr>
        <w:spacing w:before="240" w:after="240" w:line="360" w:lineRule="auto"/>
        <w:rPr>
          <w:sz w:val="25"/>
          <w:szCs w:val="25"/>
        </w:rPr>
      </w:pPr>
      <w:bookmarkStart w:id="25" w:name="_Toc57906648"/>
      <w:r w:rsidRPr="00E6242A">
        <w:rPr>
          <w:sz w:val="25"/>
          <w:szCs w:val="25"/>
        </w:rPr>
        <w:lastRenderedPageBreak/>
        <w:t>GEORGIA POWER SHOULD PROVIDE A LONG-TERM, FIXED PRICE CONTRACT OPTION FOR ALL QFS, INCLUDING SOLAR QFS.</w:t>
      </w:r>
      <w:bookmarkEnd w:id="25"/>
    </w:p>
    <w:p w14:paraId="39591E29" w14:textId="77777777" w:rsidR="0067273C" w:rsidRPr="00C2292D" w:rsidRDefault="0067273C" w:rsidP="0067273C">
      <w:pPr>
        <w:spacing w:line="480" w:lineRule="auto"/>
        <w:ind w:left="720" w:hanging="720"/>
        <w:jc w:val="both"/>
        <w:rPr>
          <w:rFonts w:eastAsia="Calibri"/>
          <w:b/>
          <w:bCs/>
          <w:lang w:eastAsia="en-US"/>
        </w:rPr>
      </w:pPr>
      <w:r w:rsidRPr="00C2292D">
        <w:rPr>
          <w:rFonts w:eastAsia="Calibri"/>
          <w:b/>
          <w:bCs/>
          <w:lang w:eastAsia="en-US"/>
        </w:rPr>
        <w:t>Q.</w:t>
      </w:r>
      <w:r w:rsidRPr="00C2292D">
        <w:rPr>
          <w:rFonts w:eastAsia="Calibri"/>
          <w:b/>
          <w:bCs/>
          <w:lang w:eastAsia="en-US"/>
        </w:rPr>
        <w:tab/>
        <w:t>Do the contract revisions proposed by the Company represent minor changes to provide for consistency across programs?</w:t>
      </w:r>
    </w:p>
    <w:p w14:paraId="2AE6D740" w14:textId="5882CC38" w:rsidR="0067273C" w:rsidRPr="00C2292D" w:rsidRDefault="0067273C" w:rsidP="0067273C">
      <w:pPr>
        <w:spacing w:line="480" w:lineRule="auto"/>
        <w:ind w:left="720" w:hanging="720"/>
        <w:jc w:val="both"/>
        <w:rPr>
          <w:rFonts w:eastAsia="Calibri"/>
          <w:lang w:eastAsia="en-US"/>
        </w:rPr>
      </w:pPr>
      <w:r w:rsidRPr="00C2292D">
        <w:rPr>
          <w:rFonts w:eastAsia="Calibri"/>
          <w:lang w:eastAsia="en-US"/>
        </w:rPr>
        <w:t>A.</w:t>
      </w:r>
      <w:r w:rsidRPr="00C2292D">
        <w:rPr>
          <w:rFonts w:eastAsia="Calibri"/>
          <w:lang w:eastAsia="en-US"/>
        </w:rPr>
        <w:tab/>
        <w:t xml:space="preserve">No, they represent major and significant changes to the financial returns for all solar qualifying facilities that rely on avoided cost compensation. </w:t>
      </w:r>
      <w:r>
        <w:rPr>
          <w:rFonts w:eastAsia="Calibri"/>
          <w:lang w:eastAsia="en-US"/>
        </w:rPr>
        <w:t xml:space="preserve">Critically, the Company appears to </w:t>
      </w:r>
      <w:r w:rsidR="00A535C1">
        <w:rPr>
          <w:rFonts w:eastAsia="Calibri"/>
          <w:lang w:eastAsia="en-US"/>
        </w:rPr>
        <w:t>incorporate</w:t>
      </w:r>
      <w:r>
        <w:rPr>
          <w:rFonts w:eastAsia="Calibri"/>
          <w:lang w:eastAsia="en-US"/>
        </w:rPr>
        <w:t xml:space="preserve"> provisions from other programs that </w:t>
      </w:r>
      <w:r w:rsidR="000A3D22">
        <w:rPr>
          <w:rFonts w:eastAsia="Calibri"/>
          <w:lang w:eastAsia="en-US"/>
        </w:rPr>
        <w:t>will further undermine QF development</w:t>
      </w:r>
      <w:r>
        <w:rPr>
          <w:rFonts w:eastAsia="Calibri"/>
          <w:lang w:eastAsia="en-US"/>
        </w:rPr>
        <w:t xml:space="preserve"> </w:t>
      </w:r>
      <w:r w:rsidR="000A3D22">
        <w:rPr>
          <w:rFonts w:eastAsia="Calibri"/>
          <w:lang w:eastAsia="en-US"/>
        </w:rPr>
        <w:t>while omitting</w:t>
      </w:r>
      <w:r>
        <w:rPr>
          <w:rFonts w:eastAsia="Calibri"/>
          <w:lang w:eastAsia="en-US"/>
        </w:rPr>
        <w:t xml:space="preserve"> </w:t>
      </w:r>
      <w:r w:rsidR="000A3D22">
        <w:rPr>
          <w:rFonts w:eastAsia="Calibri"/>
          <w:lang w:eastAsia="en-US"/>
        </w:rPr>
        <w:t xml:space="preserve">program drivers that are likely to benefit the QF market. </w:t>
      </w:r>
      <w:r>
        <w:rPr>
          <w:rFonts w:eastAsia="Calibri"/>
          <w:lang w:eastAsia="en-US"/>
        </w:rPr>
        <w:t>For example, IRP renewable program contracts include fixed pricing for participants. The Company acknowledged that fixed pricing is likely important to the success of those programs.</w:t>
      </w:r>
      <w:r>
        <w:rPr>
          <w:rStyle w:val="FootnoteReference"/>
          <w:rFonts w:eastAsia="Calibri"/>
          <w:lang w:eastAsia="en-US"/>
        </w:rPr>
        <w:footnoteReference w:id="33"/>
      </w:r>
      <w:r>
        <w:rPr>
          <w:rFonts w:eastAsia="Calibri"/>
          <w:lang w:eastAsia="en-US"/>
        </w:rPr>
        <w:t xml:space="preserve">  Yet, </w:t>
      </w:r>
      <w:r w:rsidR="000A3D22">
        <w:rPr>
          <w:rFonts w:eastAsia="Calibri"/>
          <w:lang w:eastAsia="en-US"/>
        </w:rPr>
        <w:t>even as GPC claims to be seeking</w:t>
      </w:r>
      <w:r>
        <w:rPr>
          <w:rFonts w:eastAsia="Calibri"/>
          <w:lang w:eastAsia="en-US"/>
        </w:rPr>
        <w:t xml:space="preserve"> to make the standard offer contracts consistent with other programs</w:t>
      </w:r>
      <w:r w:rsidR="001D6A9F">
        <w:rPr>
          <w:rFonts w:eastAsia="Calibri"/>
          <w:lang w:eastAsia="en-US"/>
        </w:rPr>
        <w:t xml:space="preserve"> and reflective of “contemporary best practices</w:t>
      </w:r>
      <w:r>
        <w:rPr>
          <w:rFonts w:eastAsia="Calibri"/>
          <w:lang w:eastAsia="en-US"/>
        </w:rPr>
        <w:t>,</w:t>
      </w:r>
      <w:r w:rsidR="001D6A9F">
        <w:rPr>
          <w:rFonts w:eastAsia="Calibri"/>
          <w:lang w:eastAsia="en-US"/>
        </w:rPr>
        <w:t>”</w:t>
      </w:r>
      <w:r w:rsidR="00534867">
        <w:rPr>
          <w:rStyle w:val="FootnoteReference"/>
          <w:rFonts w:eastAsia="Calibri"/>
          <w:lang w:eastAsia="en-US"/>
        </w:rPr>
        <w:footnoteReference w:id="34"/>
      </w:r>
      <w:r>
        <w:rPr>
          <w:rFonts w:eastAsia="Calibri"/>
          <w:lang w:eastAsia="en-US"/>
        </w:rPr>
        <w:t xml:space="preserve"> </w:t>
      </w:r>
      <w:r w:rsidR="000A3D22">
        <w:rPr>
          <w:rFonts w:eastAsia="Calibri"/>
          <w:lang w:eastAsia="en-US"/>
        </w:rPr>
        <w:t>fixed pricing has been</w:t>
      </w:r>
      <w:r>
        <w:rPr>
          <w:rFonts w:eastAsia="Calibri"/>
          <w:lang w:eastAsia="en-US"/>
        </w:rPr>
        <w:t xml:space="preserve"> left off the table. </w:t>
      </w:r>
    </w:p>
    <w:p w14:paraId="74DC693F" w14:textId="77777777" w:rsidR="0067273C" w:rsidRPr="00C2292D" w:rsidRDefault="0067273C" w:rsidP="0067273C">
      <w:pPr>
        <w:spacing w:line="480" w:lineRule="auto"/>
        <w:ind w:left="720" w:hanging="720"/>
        <w:jc w:val="both"/>
        <w:rPr>
          <w:rFonts w:eastAsia="Calibri"/>
          <w:b/>
          <w:bCs/>
          <w:lang w:eastAsia="en-US"/>
        </w:rPr>
      </w:pPr>
      <w:r w:rsidRPr="00C2292D">
        <w:rPr>
          <w:rFonts w:eastAsia="Calibri"/>
          <w:b/>
          <w:bCs/>
          <w:lang w:eastAsia="en-US"/>
        </w:rPr>
        <w:t>Q.</w:t>
      </w:r>
      <w:r w:rsidRPr="00C2292D">
        <w:rPr>
          <w:rFonts w:eastAsia="Calibri"/>
          <w:b/>
          <w:bCs/>
          <w:lang w:eastAsia="en-US"/>
        </w:rPr>
        <w:tab/>
      </w:r>
      <w:r w:rsidR="00BB5CD8">
        <w:rPr>
          <w:rFonts w:eastAsia="Calibri"/>
          <w:b/>
          <w:bCs/>
          <w:lang w:eastAsia="en-US"/>
        </w:rPr>
        <w:t xml:space="preserve">You recommend that Georgia Power </w:t>
      </w:r>
      <w:r w:rsidR="00864499">
        <w:rPr>
          <w:rFonts w:eastAsia="Calibri"/>
          <w:b/>
          <w:bCs/>
          <w:lang w:eastAsia="en-US"/>
        </w:rPr>
        <w:t xml:space="preserve">include </w:t>
      </w:r>
      <w:r w:rsidR="00BB5CD8">
        <w:rPr>
          <w:rFonts w:eastAsia="Calibri"/>
          <w:b/>
          <w:bCs/>
          <w:lang w:eastAsia="en-US"/>
        </w:rPr>
        <w:t>fixed</w:t>
      </w:r>
      <w:r w:rsidR="00864499">
        <w:rPr>
          <w:rFonts w:eastAsia="Calibri"/>
          <w:b/>
          <w:bCs/>
          <w:lang w:eastAsia="en-US"/>
        </w:rPr>
        <w:t xml:space="preserve"> price, long-term contract options in its PURPA standard offer contracts, including those contracts available to solar QFs. Are fixed price, long-term contracts </w:t>
      </w:r>
      <w:r w:rsidRPr="00C2292D">
        <w:rPr>
          <w:rFonts w:eastAsia="Calibri"/>
          <w:b/>
          <w:bCs/>
          <w:lang w:eastAsia="en-US"/>
        </w:rPr>
        <w:t>available to developers in other Georgia Power programs?</w:t>
      </w:r>
    </w:p>
    <w:p w14:paraId="46BE7C2A" w14:textId="77777777" w:rsidR="0067273C" w:rsidRPr="00C2292D" w:rsidRDefault="0067273C" w:rsidP="0067273C">
      <w:pPr>
        <w:spacing w:line="480" w:lineRule="auto"/>
        <w:ind w:left="720" w:hanging="720"/>
        <w:jc w:val="both"/>
        <w:rPr>
          <w:rFonts w:eastAsia="Calibri"/>
          <w:lang w:eastAsia="en-US"/>
        </w:rPr>
      </w:pPr>
      <w:r w:rsidRPr="00C2292D">
        <w:rPr>
          <w:rFonts w:eastAsia="Calibri"/>
          <w:lang w:eastAsia="en-US"/>
        </w:rPr>
        <w:t>A.</w:t>
      </w:r>
      <w:r w:rsidRPr="00C2292D">
        <w:rPr>
          <w:rFonts w:eastAsia="Calibri"/>
          <w:lang w:eastAsia="en-US"/>
        </w:rPr>
        <w:tab/>
        <w:t>The C</w:t>
      </w:r>
      <w:r w:rsidR="0086333D">
        <w:rPr>
          <w:rFonts w:eastAsia="Calibri"/>
          <w:lang w:eastAsia="en-US"/>
        </w:rPr>
        <w:t>ompany offers fixed price, long-</w:t>
      </w:r>
      <w:r w:rsidRPr="00C2292D">
        <w:rPr>
          <w:rFonts w:eastAsia="Calibri"/>
          <w:lang w:eastAsia="en-US"/>
        </w:rPr>
        <w:t xml:space="preserve">term contracts to solar projects that go through the IRP-initiated </w:t>
      </w:r>
      <w:r>
        <w:rPr>
          <w:rFonts w:eastAsia="Calibri"/>
          <w:lang w:eastAsia="en-US"/>
        </w:rPr>
        <w:t xml:space="preserve">renewable </w:t>
      </w:r>
      <w:r w:rsidRPr="00C2292D">
        <w:rPr>
          <w:rFonts w:eastAsia="Calibri"/>
          <w:lang w:eastAsia="en-US"/>
        </w:rPr>
        <w:t xml:space="preserve">procurement programs. </w:t>
      </w:r>
      <w:r>
        <w:rPr>
          <w:rFonts w:eastAsia="Calibri"/>
          <w:lang w:eastAsia="en-US"/>
        </w:rPr>
        <w:t xml:space="preserve">The same critical provisions aren’t available in the </w:t>
      </w:r>
      <w:r>
        <w:t>Standard QF Energy-Only Contract.</w:t>
      </w:r>
      <w:r>
        <w:rPr>
          <w:rStyle w:val="FootnoteReference"/>
        </w:rPr>
        <w:footnoteReference w:id="35"/>
      </w:r>
      <w:r>
        <w:rPr>
          <w:rFonts w:eastAsia="Calibri"/>
          <w:lang w:eastAsia="en-US"/>
        </w:rPr>
        <w:t xml:space="preserve"> </w:t>
      </w:r>
      <w:r w:rsidRPr="00C2292D">
        <w:rPr>
          <w:rFonts w:eastAsia="Calibri"/>
          <w:lang w:eastAsia="en-US"/>
        </w:rPr>
        <w:t xml:space="preserve">The lack of such an opportunity for </w:t>
      </w:r>
      <w:r w:rsidRPr="00C2292D">
        <w:rPr>
          <w:rFonts w:eastAsia="Calibri"/>
          <w:lang w:eastAsia="en-US"/>
        </w:rPr>
        <w:lastRenderedPageBreak/>
        <w:t xml:space="preserve">developers interested in a standard offer contract is one key deficiency we suggest is easily fixed and would reduce the appearance of discriminatory intent against </w:t>
      </w:r>
      <w:r w:rsidR="003A4353">
        <w:rPr>
          <w:rFonts w:eastAsia="Calibri"/>
          <w:lang w:eastAsia="en-US"/>
        </w:rPr>
        <w:t>QFs</w:t>
      </w:r>
      <w:r w:rsidRPr="00C2292D">
        <w:rPr>
          <w:rFonts w:eastAsia="Calibri"/>
          <w:lang w:eastAsia="en-US"/>
        </w:rPr>
        <w:t>.</w:t>
      </w:r>
    </w:p>
    <w:p w14:paraId="14AE2EDA" w14:textId="77777777" w:rsidR="0067273C" w:rsidRPr="00524390" w:rsidRDefault="00864499" w:rsidP="0067273C">
      <w:pPr>
        <w:spacing w:line="480" w:lineRule="auto"/>
        <w:ind w:left="720" w:hanging="720"/>
        <w:jc w:val="both"/>
        <w:rPr>
          <w:rFonts w:eastAsia="Calibri"/>
          <w:b/>
          <w:lang w:eastAsia="en-US"/>
        </w:rPr>
      </w:pPr>
      <w:r w:rsidRPr="00524390">
        <w:rPr>
          <w:rFonts w:eastAsia="Calibri"/>
          <w:b/>
          <w:lang w:eastAsia="en-US"/>
        </w:rPr>
        <w:t>Q.</w:t>
      </w:r>
      <w:r w:rsidRPr="00524390">
        <w:rPr>
          <w:rFonts w:eastAsia="Calibri"/>
          <w:b/>
          <w:lang w:eastAsia="en-US"/>
        </w:rPr>
        <w:tab/>
        <w:t>Are the fixed price, long-term contracts likely critical to the success of the IRP programs?</w:t>
      </w:r>
    </w:p>
    <w:p w14:paraId="794821A1" w14:textId="77777777" w:rsidR="00864499" w:rsidRDefault="00864499" w:rsidP="0067273C">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Yes. Georgia Power appears to agree. In the recent hearing, the Georgia Power panel testified that </w:t>
      </w:r>
      <w:r w:rsidR="009C75FD" w:rsidRPr="00A16805">
        <w:rPr>
          <w:rFonts w:eastAsia="Calibri"/>
        </w:rPr>
        <w:t>fixed price or the price certainty in IRP program PPAs was “an important factor in the success of those programs</w:t>
      </w:r>
      <w:r>
        <w:rPr>
          <w:rFonts w:eastAsia="Calibri"/>
          <w:lang w:eastAsia="en-US"/>
        </w:rPr>
        <w:t>.</w:t>
      </w:r>
      <w:r w:rsidR="002F12B7">
        <w:rPr>
          <w:rFonts w:eastAsia="Calibri"/>
          <w:lang w:eastAsia="en-US"/>
        </w:rPr>
        <w:t>”</w:t>
      </w:r>
      <w:r>
        <w:rPr>
          <w:rStyle w:val="FootnoteReference"/>
          <w:rFonts w:eastAsia="Calibri"/>
          <w:lang w:eastAsia="en-US"/>
        </w:rPr>
        <w:footnoteReference w:id="36"/>
      </w:r>
      <w:r>
        <w:rPr>
          <w:rFonts w:eastAsia="Calibri"/>
          <w:lang w:eastAsia="en-US"/>
        </w:rPr>
        <w:t xml:space="preserve"> </w:t>
      </w:r>
    </w:p>
    <w:p w14:paraId="5F3F25C8" w14:textId="77777777" w:rsidR="00864499" w:rsidRPr="00524390" w:rsidRDefault="00864499" w:rsidP="0067273C">
      <w:pPr>
        <w:spacing w:line="480" w:lineRule="auto"/>
        <w:ind w:left="720" w:hanging="720"/>
        <w:jc w:val="both"/>
        <w:rPr>
          <w:rFonts w:eastAsia="Calibri"/>
          <w:b/>
          <w:lang w:eastAsia="en-US"/>
        </w:rPr>
      </w:pPr>
      <w:r w:rsidRPr="00524390">
        <w:rPr>
          <w:rFonts w:eastAsia="Calibri"/>
          <w:b/>
          <w:lang w:eastAsia="en-US"/>
        </w:rPr>
        <w:t>Q.</w:t>
      </w:r>
      <w:r w:rsidRPr="00524390">
        <w:rPr>
          <w:rFonts w:eastAsia="Calibri"/>
          <w:b/>
          <w:lang w:eastAsia="en-US"/>
        </w:rPr>
        <w:tab/>
        <w:t>You’re recommending long</w:t>
      </w:r>
      <w:r w:rsidR="00FC0635">
        <w:rPr>
          <w:rFonts w:eastAsia="Calibri"/>
          <w:b/>
          <w:lang w:eastAsia="en-US"/>
        </w:rPr>
        <w:t>-</w:t>
      </w:r>
      <w:r w:rsidRPr="00524390">
        <w:rPr>
          <w:rFonts w:eastAsia="Calibri"/>
          <w:b/>
          <w:lang w:eastAsia="en-US"/>
        </w:rPr>
        <w:t xml:space="preserve">term contract options, but Georgia Power testified that long-term contracts are already available to QFs. Why include this? </w:t>
      </w:r>
    </w:p>
    <w:p w14:paraId="14995315" w14:textId="77777777" w:rsidR="00262283" w:rsidRDefault="00864499" w:rsidP="0067273C">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The </w:t>
      </w:r>
      <w:r w:rsidR="006C7682">
        <w:rPr>
          <w:rFonts w:eastAsia="Calibri"/>
          <w:lang w:eastAsia="en-US"/>
        </w:rPr>
        <w:t xml:space="preserve">standard </w:t>
      </w:r>
      <w:r>
        <w:rPr>
          <w:rFonts w:eastAsia="Calibri"/>
          <w:lang w:eastAsia="en-US"/>
        </w:rPr>
        <w:t xml:space="preserve">contract itself fails to detail term length options or the ability for a QF to choose their preferred term length. This leaves room for confusion. </w:t>
      </w:r>
    </w:p>
    <w:p w14:paraId="0ED1E0E7" w14:textId="279235D3" w:rsidR="00743E2E" w:rsidRPr="00743E2E" w:rsidRDefault="00262283" w:rsidP="00743E2E">
      <w:pPr>
        <w:spacing w:line="480" w:lineRule="auto"/>
        <w:ind w:left="720" w:hanging="720"/>
        <w:jc w:val="both"/>
        <w:rPr>
          <w:rFonts w:eastAsia="Calibri"/>
          <w:lang w:eastAsia="en-US"/>
        </w:rPr>
      </w:pPr>
      <w:r>
        <w:rPr>
          <w:rFonts w:eastAsia="Calibri"/>
          <w:lang w:eastAsia="en-US"/>
        </w:rPr>
        <w:tab/>
        <w:t>E</w:t>
      </w:r>
      <w:r w:rsidR="00864499">
        <w:rPr>
          <w:rFonts w:eastAsia="Calibri"/>
          <w:lang w:eastAsia="en-US"/>
        </w:rPr>
        <w:t>ven if QFs have complete discretion to choose the term length, Georgia Power is proposing a 365</w:t>
      </w:r>
      <w:r w:rsidR="00633B83">
        <w:rPr>
          <w:rFonts w:eastAsia="Calibri"/>
          <w:lang w:eastAsia="en-US"/>
        </w:rPr>
        <w:t>-</w:t>
      </w:r>
      <w:r w:rsidR="00864499">
        <w:rPr>
          <w:rFonts w:eastAsia="Calibri"/>
          <w:lang w:eastAsia="en-US"/>
        </w:rPr>
        <w:t>day notice provision to allow QFs to leave the contract. Georgia Power is relying heavily on that proposed provision to assert that the QF energy</w:t>
      </w:r>
      <w:r w:rsidR="00316F13">
        <w:rPr>
          <w:rFonts w:eastAsia="Calibri"/>
          <w:lang w:eastAsia="en-US"/>
        </w:rPr>
        <w:t>-</w:t>
      </w:r>
      <w:r w:rsidR="00864499">
        <w:rPr>
          <w:rFonts w:eastAsia="Calibri"/>
          <w:lang w:eastAsia="en-US"/>
        </w:rPr>
        <w:t xml:space="preserve">only contracts are not long-term. </w:t>
      </w:r>
      <w:r>
        <w:rPr>
          <w:rFonts w:eastAsia="Calibri"/>
          <w:lang w:eastAsia="en-US"/>
        </w:rPr>
        <w:t xml:space="preserve">Because of the </w:t>
      </w:r>
      <w:r w:rsidR="00371E3F">
        <w:rPr>
          <w:rFonts w:eastAsia="Calibri"/>
          <w:lang w:eastAsia="en-US"/>
        </w:rPr>
        <w:t>365</w:t>
      </w:r>
      <w:r w:rsidR="00633B83">
        <w:rPr>
          <w:rFonts w:eastAsia="Calibri"/>
          <w:lang w:eastAsia="en-US"/>
        </w:rPr>
        <w:t>-</w:t>
      </w:r>
      <w:r w:rsidR="00371E3F">
        <w:rPr>
          <w:rFonts w:eastAsia="Calibri"/>
          <w:lang w:eastAsia="en-US"/>
        </w:rPr>
        <w:t>day notice</w:t>
      </w:r>
      <w:r>
        <w:rPr>
          <w:rFonts w:eastAsia="Calibri"/>
          <w:lang w:eastAsia="en-US"/>
        </w:rPr>
        <w:t xml:space="preserve"> provision, at least in large part, Georgia Power </w:t>
      </w:r>
      <w:r w:rsidR="00371E3F">
        <w:rPr>
          <w:rFonts w:eastAsia="Calibri"/>
          <w:lang w:eastAsia="en-US"/>
        </w:rPr>
        <w:t>considers energy from energy-only QF contract participants to be “unplanned” and thus, not eligible for consideration in IRP planning.</w:t>
      </w:r>
      <w:r w:rsidR="00864499">
        <w:rPr>
          <w:rFonts w:eastAsia="Calibri"/>
          <w:lang w:eastAsia="en-US"/>
        </w:rPr>
        <w:t xml:space="preserve"> This </w:t>
      </w:r>
      <w:r w:rsidR="00371E3F">
        <w:rPr>
          <w:rFonts w:eastAsia="Calibri"/>
          <w:lang w:eastAsia="en-US"/>
        </w:rPr>
        <w:t>discrepancy between the term length and the 365</w:t>
      </w:r>
      <w:r w:rsidR="00633B83">
        <w:rPr>
          <w:rFonts w:eastAsia="Calibri"/>
          <w:lang w:eastAsia="en-US"/>
        </w:rPr>
        <w:t>-</w:t>
      </w:r>
      <w:r w:rsidR="00371E3F">
        <w:rPr>
          <w:rFonts w:eastAsia="Calibri"/>
          <w:lang w:eastAsia="en-US"/>
        </w:rPr>
        <w:t xml:space="preserve">day notice provision </w:t>
      </w:r>
      <w:r w:rsidR="00864499">
        <w:rPr>
          <w:rFonts w:eastAsia="Calibri"/>
          <w:lang w:eastAsia="en-US"/>
        </w:rPr>
        <w:t xml:space="preserve">creates significant confusion as to whether the contracts are actually long-term or not. </w:t>
      </w:r>
      <w:r w:rsidR="00743E2E">
        <w:rPr>
          <w:rFonts w:eastAsia="Calibri"/>
          <w:b/>
          <w:lang w:eastAsia="en-US"/>
        </w:rPr>
        <w:br w:type="page"/>
      </w:r>
    </w:p>
    <w:p w14:paraId="18F657D9" w14:textId="424C93E0" w:rsidR="00262283" w:rsidRPr="00524390" w:rsidRDefault="00262283" w:rsidP="0067273C">
      <w:pPr>
        <w:spacing w:line="480" w:lineRule="auto"/>
        <w:ind w:left="720" w:hanging="720"/>
        <w:jc w:val="both"/>
        <w:rPr>
          <w:rFonts w:eastAsia="Calibri"/>
          <w:b/>
          <w:lang w:eastAsia="en-US"/>
        </w:rPr>
      </w:pPr>
      <w:r w:rsidRPr="00524390">
        <w:rPr>
          <w:rFonts w:eastAsia="Calibri"/>
          <w:b/>
          <w:lang w:eastAsia="en-US"/>
        </w:rPr>
        <w:lastRenderedPageBreak/>
        <w:t>Q.</w:t>
      </w:r>
      <w:r w:rsidRPr="00524390">
        <w:rPr>
          <w:rFonts w:eastAsia="Calibri"/>
          <w:b/>
          <w:lang w:eastAsia="en-US"/>
        </w:rPr>
        <w:tab/>
        <w:t>Do your recommendations for fixed price, long</w:t>
      </w:r>
      <w:r w:rsidR="00A535C1">
        <w:rPr>
          <w:rFonts w:eastAsia="Calibri"/>
          <w:b/>
          <w:lang w:eastAsia="en-US"/>
        </w:rPr>
        <w:t>-</w:t>
      </w:r>
      <w:r w:rsidRPr="00524390">
        <w:rPr>
          <w:rFonts w:eastAsia="Calibri"/>
          <w:b/>
          <w:lang w:eastAsia="en-US"/>
        </w:rPr>
        <w:t xml:space="preserve">term contracts affect QFs of all sizes </w:t>
      </w:r>
      <w:proofErr w:type="gramStart"/>
      <w:r w:rsidRPr="00524390">
        <w:rPr>
          <w:rFonts w:eastAsia="Calibri"/>
          <w:b/>
          <w:lang w:eastAsia="en-US"/>
        </w:rPr>
        <w:t>in</w:t>
      </w:r>
      <w:proofErr w:type="gramEnd"/>
      <w:r w:rsidRPr="00524390">
        <w:rPr>
          <w:rFonts w:eastAsia="Calibri"/>
          <w:b/>
          <w:lang w:eastAsia="en-US"/>
        </w:rPr>
        <w:t xml:space="preserve"> the same way?</w:t>
      </w:r>
    </w:p>
    <w:p w14:paraId="3D94EF42" w14:textId="77777777" w:rsidR="00262283" w:rsidRDefault="00262283" w:rsidP="0067273C">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No, probably not. Smaller QFs likely have a more difficult time accessing financing. As a result, adding provisions to clarify that the contract term is at the discretion of the QF and ensuring the price is fixed at a rate (or rates) set at the time the contract is entered could significantly improve the ability of smaller solar QFs to access financing. </w:t>
      </w:r>
    </w:p>
    <w:p w14:paraId="15AB7F23" w14:textId="77777777" w:rsidR="00262283" w:rsidRPr="00A66121" w:rsidRDefault="00262283" w:rsidP="0067273C">
      <w:pPr>
        <w:spacing w:line="480" w:lineRule="auto"/>
        <w:ind w:left="720" w:hanging="720"/>
        <w:jc w:val="both"/>
        <w:rPr>
          <w:rFonts w:eastAsia="Calibri"/>
          <w:b/>
          <w:lang w:eastAsia="en-US"/>
        </w:rPr>
      </w:pPr>
      <w:r w:rsidRPr="00524390">
        <w:rPr>
          <w:rFonts w:eastAsia="Calibri"/>
          <w:b/>
          <w:lang w:eastAsia="en-US"/>
        </w:rPr>
        <w:t>Q.</w:t>
      </w:r>
      <w:r w:rsidRPr="00524390">
        <w:rPr>
          <w:rFonts w:eastAsia="Calibri"/>
          <w:b/>
          <w:lang w:eastAsia="en-US"/>
        </w:rPr>
        <w:tab/>
        <w:t xml:space="preserve">If the Commission adopts your recommendation and makes </w:t>
      </w:r>
      <w:r w:rsidR="00B53BD4">
        <w:rPr>
          <w:rFonts w:eastAsia="Calibri"/>
          <w:b/>
          <w:lang w:eastAsia="en-US"/>
        </w:rPr>
        <w:t>fixed price, long-</w:t>
      </w:r>
      <w:r w:rsidRPr="00524390">
        <w:rPr>
          <w:rFonts w:eastAsia="Calibri"/>
          <w:b/>
          <w:lang w:eastAsia="en-US"/>
        </w:rPr>
        <w:t>term contracts available to solar QFs, is there a way to protect against unchecked solar growth and a runaway market?</w:t>
      </w:r>
    </w:p>
    <w:p w14:paraId="6F39121E" w14:textId="77777777" w:rsidR="00262283" w:rsidRDefault="00262283" w:rsidP="0067273C">
      <w:pPr>
        <w:spacing w:line="480" w:lineRule="auto"/>
        <w:ind w:left="720" w:hanging="720"/>
        <w:jc w:val="both"/>
        <w:rPr>
          <w:rFonts w:eastAsia="Calibri"/>
          <w:lang w:eastAsia="en-US"/>
        </w:rPr>
      </w:pPr>
      <w:r>
        <w:rPr>
          <w:rFonts w:eastAsia="Calibri"/>
          <w:lang w:eastAsia="en-US"/>
        </w:rPr>
        <w:t xml:space="preserve">A. </w:t>
      </w:r>
      <w:r w:rsidR="003A29F5">
        <w:rPr>
          <w:rFonts w:eastAsia="Calibri"/>
          <w:lang w:eastAsia="en-US"/>
        </w:rPr>
        <w:tab/>
        <w:t xml:space="preserve">Our proposal </w:t>
      </w:r>
      <w:r w:rsidR="00FB415F">
        <w:rPr>
          <w:rFonts w:eastAsia="Calibri"/>
          <w:lang w:eastAsia="en-US"/>
        </w:rPr>
        <w:t xml:space="preserve">that QFs be paid avoided capacity costs beginning in the year that </w:t>
      </w:r>
      <w:r w:rsidR="003F63E1">
        <w:rPr>
          <w:rFonts w:eastAsia="Calibri"/>
          <w:lang w:eastAsia="en-US"/>
        </w:rPr>
        <w:t xml:space="preserve">Georgia Power last projected a capacity need as of the time the QF establishes a legally enforceable obligation serves this purpose well. If it will be many years before </w:t>
      </w:r>
      <w:r w:rsidR="00EA0F6D">
        <w:rPr>
          <w:rFonts w:eastAsia="Calibri"/>
          <w:lang w:eastAsia="en-US"/>
        </w:rPr>
        <w:t>c</w:t>
      </w:r>
      <w:r w:rsidR="003F63E1">
        <w:rPr>
          <w:rFonts w:eastAsia="Calibri"/>
          <w:lang w:eastAsia="en-US"/>
        </w:rPr>
        <w:t xml:space="preserve">apacity is needed, </w:t>
      </w:r>
      <w:r w:rsidR="00EA0F6D">
        <w:rPr>
          <w:rFonts w:eastAsia="Calibri"/>
          <w:lang w:eastAsia="en-US"/>
        </w:rPr>
        <w:t xml:space="preserve">the QF will only receive energy payments until capacity is needed and the economics of the contract will </w:t>
      </w:r>
      <w:r w:rsidR="00F5238E">
        <w:rPr>
          <w:rFonts w:eastAsia="Calibri"/>
          <w:lang w:eastAsia="en-US"/>
        </w:rPr>
        <w:t>be adverse to significant development. If the capacity need is</w:t>
      </w:r>
      <w:r w:rsidR="00FF1C96">
        <w:rPr>
          <w:rFonts w:eastAsia="Calibri"/>
          <w:lang w:eastAsia="en-US"/>
        </w:rPr>
        <w:t xml:space="preserve"> near, the economics will be much more favorable. If enough QFs acceded to legally enforceable obligations, this will delay the timing of Georgia Power’s next capacity need</w:t>
      </w:r>
      <w:r w:rsidR="00027629">
        <w:rPr>
          <w:rFonts w:eastAsia="Calibri"/>
          <w:lang w:eastAsia="en-US"/>
        </w:rPr>
        <w:t>. This process is therefore self-adjusting to match Georgia Power’s projected capacity needs.</w:t>
      </w:r>
    </w:p>
    <w:p w14:paraId="7B78EFC6" w14:textId="77777777" w:rsidR="00A535C1" w:rsidRDefault="00524390" w:rsidP="00974723">
      <w:pPr>
        <w:spacing w:after="120" w:line="480" w:lineRule="auto"/>
        <w:ind w:left="720" w:hanging="720"/>
        <w:jc w:val="both"/>
        <w:rPr>
          <w:rFonts w:eastAsia="Calibri"/>
          <w:lang w:eastAsia="en-US"/>
        </w:rPr>
      </w:pPr>
      <w:r>
        <w:rPr>
          <w:rFonts w:eastAsia="Calibri"/>
          <w:lang w:eastAsia="en-US"/>
        </w:rPr>
        <w:tab/>
        <w:t>Further, the Commission has significant discretion to create guardrails to protect</w:t>
      </w:r>
      <w:r w:rsidR="00B53BD4">
        <w:rPr>
          <w:rFonts w:eastAsia="Calibri"/>
          <w:lang w:eastAsia="en-US"/>
        </w:rPr>
        <w:t xml:space="preserve"> against unchecked development.</w:t>
      </w:r>
      <w:r>
        <w:rPr>
          <w:rFonts w:eastAsia="Calibri"/>
          <w:lang w:eastAsia="en-US"/>
        </w:rPr>
        <w:t xml:space="preserve"> Similar to the IRP, the Commission and Georgia Power can treat QFs of different</w:t>
      </w:r>
      <w:r w:rsidR="00B53BD4">
        <w:rPr>
          <w:rFonts w:eastAsia="Calibri"/>
          <w:lang w:eastAsia="en-US"/>
        </w:rPr>
        <w:t xml:space="preserve"> sizes differently.</w:t>
      </w:r>
      <w:r>
        <w:rPr>
          <w:rFonts w:eastAsia="Calibri"/>
          <w:lang w:eastAsia="en-US"/>
        </w:rPr>
        <w:t xml:space="preserve"> </w:t>
      </w:r>
    </w:p>
    <w:p w14:paraId="699367E7" w14:textId="77777777" w:rsidR="00A535C1" w:rsidRDefault="00524390" w:rsidP="001D6A9F">
      <w:pPr>
        <w:spacing w:after="120" w:line="480" w:lineRule="auto"/>
        <w:ind w:left="720"/>
        <w:jc w:val="both"/>
        <w:rPr>
          <w:rFonts w:eastAsia="Times New Roman"/>
          <w:b/>
          <w:szCs w:val="20"/>
          <w:u w:val="single"/>
        </w:rPr>
      </w:pPr>
      <w:r>
        <w:rPr>
          <w:rFonts w:eastAsia="Calibri"/>
          <w:lang w:eastAsia="en-US"/>
        </w:rPr>
        <w:t xml:space="preserve">We recommend that the Commission first focus on a well-regulated standard offer option for QFs </w:t>
      </w:r>
      <w:r w:rsidR="00974723">
        <w:rPr>
          <w:rFonts w:eastAsia="Calibri"/>
          <w:lang w:eastAsia="en-US"/>
        </w:rPr>
        <w:t xml:space="preserve">of </w:t>
      </w:r>
      <w:r>
        <w:rPr>
          <w:rFonts w:eastAsia="Calibri"/>
          <w:lang w:eastAsia="en-US"/>
        </w:rPr>
        <w:t>3 MW and smaller</w:t>
      </w:r>
      <w:r w:rsidR="00FF3390">
        <w:rPr>
          <w:rFonts w:eastAsia="Calibri"/>
          <w:lang w:eastAsia="en-US"/>
        </w:rPr>
        <w:t xml:space="preserve"> </w:t>
      </w:r>
      <w:r w:rsidR="00B53BD4">
        <w:rPr>
          <w:rFonts w:eastAsia="Calibri"/>
          <w:lang w:eastAsia="en-US"/>
        </w:rPr>
        <w:t>−</w:t>
      </w:r>
      <w:r w:rsidR="00FF3390">
        <w:rPr>
          <w:rFonts w:eastAsia="Calibri"/>
          <w:lang w:eastAsia="en-US"/>
        </w:rPr>
        <w:t xml:space="preserve"> a segment of the market where much </w:t>
      </w:r>
      <w:r w:rsidR="006C7682">
        <w:rPr>
          <w:rFonts w:eastAsia="Calibri"/>
          <w:lang w:eastAsia="en-US"/>
        </w:rPr>
        <w:t xml:space="preserve">untapped </w:t>
      </w:r>
      <w:r w:rsidR="00FF3390">
        <w:rPr>
          <w:rFonts w:eastAsia="Calibri"/>
          <w:lang w:eastAsia="en-US"/>
        </w:rPr>
        <w:t>potential remains. We recommend</w:t>
      </w:r>
      <w:r>
        <w:rPr>
          <w:rFonts w:eastAsia="Calibri"/>
          <w:lang w:eastAsia="en-US"/>
        </w:rPr>
        <w:t xml:space="preserve"> offering those projects fixed avoided cost rates and contracts </w:t>
      </w:r>
      <w:r w:rsidR="001D6A9F">
        <w:rPr>
          <w:rFonts w:eastAsia="Calibri"/>
          <w:lang w:eastAsia="en-US"/>
        </w:rPr>
        <w:t xml:space="preserve">at </w:t>
      </w:r>
      <w:r w:rsidR="001D6A9F">
        <w:rPr>
          <w:rFonts w:eastAsia="Calibri"/>
          <w:lang w:eastAsia="en-US"/>
        </w:rPr>
        <w:lastRenderedPageBreak/>
        <w:t>least</w:t>
      </w:r>
      <w:r>
        <w:rPr>
          <w:rFonts w:eastAsia="Calibri"/>
          <w:lang w:eastAsia="en-US"/>
        </w:rPr>
        <w:t xml:space="preserve"> 20 years in length. The</w:t>
      </w:r>
      <w:r w:rsidR="00FF3390">
        <w:rPr>
          <w:rFonts w:eastAsia="Calibri"/>
          <w:lang w:eastAsia="en-US"/>
        </w:rPr>
        <w:t xml:space="preserve"> Commission</w:t>
      </w:r>
      <w:r>
        <w:rPr>
          <w:rFonts w:eastAsia="Calibri"/>
          <w:lang w:eastAsia="en-US"/>
        </w:rPr>
        <w:t xml:space="preserve"> could</w:t>
      </w:r>
      <w:r w:rsidR="00FF3390">
        <w:rPr>
          <w:rFonts w:eastAsia="Calibri"/>
          <w:lang w:eastAsia="en-US"/>
        </w:rPr>
        <w:t xml:space="preserve"> </w:t>
      </w:r>
      <w:r w:rsidR="00B53BD4">
        <w:rPr>
          <w:rFonts w:eastAsia="Calibri"/>
          <w:lang w:eastAsia="en-US"/>
        </w:rPr>
        <w:t>revisit</w:t>
      </w:r>
      <w:r w:rsidR="00FF3390">
        <w:rPr>
          <w:rFonts w:eastAsia="Calibri"/>
          <w:lang w:eastAsia="en-US"/>
        </w:rPr>
        <w:t xml:space="preserve"> the offering</w:t>
      </w:r>
      <w:r w:rsidR="00B53BD4">
        <w:rPr>
          <w:rFonts w:eastAsia="Calibri"/>
          <w:lang w:eastAsia="en-US"/>
        </w:rPr>
        <w:t xml:space="preserve"> when the aggregate capacity of participants hits </w:t>
      </w:r>
      <w:r>
        <w:rPr>
          <w:rFonts w:eastAsia="Calibri"/>
          <w:lang w:eastAsia="en-US"/>
        </w:rPr>
        <w:t xml:space="preserve">1 GW to </w:t>
      </w:r>
      <w:r w:rsidR="00FF3390">
        <w:rPr>
          <w:rFonts w:eastAsia="Calibri"/>
          <w:lang w:eastAsia="en-US"/>
        </w:rPr>
        <w:t>ensure it</w:t>
      </w:r>
      <w:r>
        <w:rPr>
          <w:rFonts w:eastAsia="Calibri"/>
          <w:lang w:eastAsia="en-US"/>
        </w:rPr>
        <w:t xml:space="preserve"> has an opportunity to</w:t>
      </w:r>
      <w:r w:rsidR="00FF3390">
        <w:rPr>
          <w:rFonts w:eastAsia="Calibri"/>
          <w:lang w:eastAsia="en-US"/>
        </w:rPr>
        <w:t xml:space="preserve"> evaluate the program’s</w:t>
      </w:r>
      <w:r w:rsidR="00A535C1">
        <w:rPr>
          <w:rFonts w:eastAsia="Calibri"/>
          <w:lang w:eastAsia="en-US"/>
        </w:rPr>
        <w:t xml:space="preserve"> </w:t>
      </w:r>
      <w:r w:rsidR="00FF3390">
        <w:rPr>
          <w:rFonts w:eastAsia="Calibri"/>
          <w:lang w:eastAsia="en-US"/>
        </w:rPr>
        <w:t>impacts before significant growth occurs.</w:t>
      </w:r>
      <w:r>
        <w:rPr>
          <w:rFonts w:eastAsia="Calibri"/>
          <w:lang w:eastAsia="en-US"/>
        </w:rPr>
        <w:t xml:space="preserve"> </w:t>
      </w:r>
      <w:r w:rsidR="00FF3390">
        <w:rPr>
          <w:rFonts w:eastAsia="Calibri"/>
          <w:lang w:eastAsia="en-US"/>
        </w:rPr>
        <w:t>We also recommend that t</w:t>
      </w:r>
      <w:r>
        <w:rPr>
          <w:rFonts w:eastAsia="Calibri"/>
          <w:lang w:eastAsia="en-US"/>
        </w:rPr>
        <w:t>he Commission</w:t>
      </w:r>
      <w:r w:rsidR="00FF3390">
        <w:rPr>
          <w:rFonts w:eastAsia="Calibri"/>
          <w:lang w:eastAsia="en-US"/>
        </w:rPr>
        <w:t xml:space="preserve"> evaluate</w:t>
      </w:r>
      <w:r>
        <w:rPr>
          <w:rFonts w:eastAsia="Calibri"/>
          <w:lang w:eastAsia="en-US"/>
        </w:rPr>
        <w:t xml:space="preserve"> the standard offer program participation concurrent with the IRP to ensure that QF capacity is appropriately considered in the Company’s </w:t>
      </w:r>
      <w:r w:rsidR="00CC7F45">
        <w:rPr>
          <w:rFonts w:eastAsia="Calibri"/>
          <w:lang w:eastAsia="en-US"/>
        </w:rPr>
        <w:t>long-term</w:t>
      </w:r>
      <w:r>
        <w:rPr>
          <w:rFonts w:eastAsia="Calibri"/>
          <w:lang w:eastAsia="en-US"/>
        </w:rPr>
        <w:t xml:space="preserve"> plan</w:t>
      </w:r>
      <w:r w:rsidR="00286073">
        <w:rPr>
          <w:rFonts w:eastAsia="Calibri"/>
          <w:lang w:eastAsia="en-US"/>
        </w:rPr>
        <w:t>ning process</w:t>
      </w:r>
      <w:r>
        <w:rPr>
          <w:rFonts w:eastAsia="Calibri"/>
          <w:lang w:eastAsia="en-US"/>
        </w:rPr>
        <w:t xml:space="preserve">. </w:t>
      </w:r>
      <w:bookmarkStart w:id="26" w:name="_Toc57906649"/>
    </w:p>
    <w:p w14:paraId="5705F530" w14:textId="77777777" w:rsidR="00FC5E2F" w:rsidRPr="00E6242A" w:rsidRDefault="00FC5E2F" w:rsidP="00884304">
      <w:pPr>
        <w:pStyle w:val="OutlineL1"/>
        <w:numPr>
          <w:ilvl w:val="0"/>
          <w:numId w:val="72"/>
        </w:numPr>
        <w:spacing w:before="240" w:after="240" w:line="360" w:lineRule="auto"/>
      </w:pPr>
      <w:r w:rsidRPr="00E6242A">
        <w:t>ENERGY EFFICIENCY IS RELEVANT TO THIS PROCEEDING.</w:t>
      </w:r>
      <w:bookmarkEnd w:id="26"/>
    </w:p>
    <w:p w14:paraId="1A9C1E56" w14:textId="77777777" w:rsidR="00FC5E2F" w:rsidRPr="00FC5E2F" w:rsidRDefault="00FC5E2F" w:rsidP="00FC5E2F">
      <w:pPr>
        <w:spacing w:line="480" w:lineRule="auto"/>
        <w:ind w:left="720" w:hanging="720"/>
        <w:jc w:val="both"/>
        <w:rPr>
          <w:rFonts w:eastAsia="Calibri"/>
          <w:b/>
          <w:bCs/>
          <w:lang w:eastAsia="en-US"/>
        </w:rPr>
      </w:pPr>
      <w:r w:rsidRPr="00FC5E2F">
        <w:rPr>
          <w:rFonts w:eastAsia="Calibri"/>
          <w:b/>
          <w:bCs/>
          <w:lang w:eastAsia="en-US"/>
        </w:rPr>
        <w:t>Q.</w:t>
      </w:r>
      <w:r w:rsidRPr="00FC5E2F">
        <w:rPr>
          <w:rFonts w:eastAsia="Calibri"/>
          <w:b/>
          <w:bCs/>
          <w:lang w:eastAsia="en-US"/>
        </w:rPr>
        <w:tab/>
        <w:t>Why is energy efficiency and demand-side programming relevant to this proceeding?</w:t>
      </w:r>
    </w:p>
    <w:p w14:paraId="66F0C831" w14:textId="77777777" w:rsidR="00DC1888" w:rsidRDefault="00FC5E2F" w:rsidP="004C71A9">
      <w:pPr>
        <w:spacing w:line="480" w:lineRule="auto"/>
        <w:ind w:left="720" w:hanging="720"/>
        <w:jc w:val="both"/>
        <w:rPr>
          <w:rFonts w:eastAsia="Calibri"/>
          <w:b/>
          <w:lang w:eastAsia="en-US"/>
        </w:rPr>
      </w:pPr>
      <w:r w:rsidRPr="00FC5E2F">
        <w:rPr>
          <w:rFonts w:eastAsia="Calibri"/>
          <w:lang w:eastAsia="en-US"/>
        </w:rPr>
        <w:t>A.</w:t>
      </w:r>
      <w:r w:rsidRPr="00FC5E2F">
        <w:rPr>
          <w:rFonts w:eastAsia="Calibri"/>
          <w:lang w:eastAsia="en-US"/>
        </w:rPr>
        <w:tab/>
        <w:t>Specifically, the Procedural and Scheduling Order in this case calls attention to it twice</w:t>
      </w:r>
      <w:r w:rsidR="00E8652C">
        <w:rPr>
          <w:rFonts w:eastAsia="Calibri"/>
          <w:lang w:eastAsia="en-US"/>
        </w:rPr>
        <w:t xml:space="preserve"> (including expressly putting it within the scope of this docket)</w:t>
      </w:r>
      <w:r w:rsidRPr="00FC5E2F">
        <w:rPr>
          <w:rFonts w:eastAsia="Calibri"/>
          <w:lang w:eastAsia="en-US"/>
        </w:rPr>
        <w:t xml:space="preserve">, as does the Commission’s </w:t>
      </w:r>
      <w:r w:rsidR="00974723">
        <w:rPr>
          <w:rFonts w:eastAsia="Calibri"/>
          <w:lang w:eastAsia="en-US"/>
        </w:rPr>
        <w:t>F</w:t>
      </w:r>
      <w:r w:rsidRPr="00FC5E2F">
        <w:rPr>
          <w:rFonts w:eastAsia="Calibri"/>
          <w:lang w:eastAsia="en-US"/>
        </w:rPr>
        <w:t xml:space="preserve">inal </w:t>
      </w:r>
      <w:r w:rsidR="00974723">
        <w:rPr>
          <w:rFonts w:eastAsia="Calibri"/>
          <w:lang w:eastAsia="en-US"/>
        </w:rPr>
        <w:t>O</w:t>
      </w:r>
      <w:r w:rsidRPr="00FC5E2F">
        <w:rPr>
          <w:rFonts w:eastAsia="Calibri"/>
          <w:lang w:eastAsia="en-US"/>
        </w:rPr>
        <w:t>rder in the 2019 IRP. More generally, these resources are relevant because avoided energy and capacity cost are used to determine the results of the various cost tests that these resources are evaluated against. If the avoided energy and capacity cost methodologies are changed, so too will the optimal amount of energy efficiency and demand-side programming that should be developed and deployed by the Company in order to operate a least-cost system that provides for strong customer benefits. The impacts of this proceeding will extend beyond only QFs or even just renewable energy procurement.</w:t>
      </w:r>
    </w:p>
    <w:p w14:paraId="4BAD4B45" w14:textId="3AF1BD1D" w:rsidR="00FC5E2F" w:rsidRDefault="006C7682" w:rsidP="004C71A9">
      <w:pPr>
        <w:spacing w:line="480" w:lineRule="auto"/>
        <w:ind w:left="720" w:hanging="720"/>
        <w:jc w:val="both"/>
        <w:rPr>
          <w:rFonts w:eastAsia="Calibri"/>
          <w:b/>
          <w:lang w:eastAsia="en-US"/>
        </w:rPr>
      </w:pPr>
      <w:r w:rsidRPr="002F12B7">
        <w:rPr>
          <w:rFonts w:eastAsia="Calibri"/>
          <w:b/>
          <w:lang w:eastAsia="en-US"/>
        </w:rPr>
        <w:t>Q.</w:t>
      </w:r>
      <w:r w:rsidRPr="002F12B7">
        <w:rPr>
          <w:rFonts w:eastAsia="Calibri"/>
          <w:b/>
          <w:lang w:eastAsia="en-US"/>
        </w:rPr>
        <w:tab/>
        <w:t xml:space="preserve">Georgia Power has noted, however, that PURPA does not govern demand-side resources. How do you respond? </w:t>
      </w:r>
    </w:p>
    <w:p w14:paraId="522D7201" w14:textId="77777777" w:rsidR="006C7682" w:rsidRDefault="006C7682" w:rsidP="002F12B7">
      <w:pPr>
        <w:spacing w:after="120" w:line="480" w:lineRule="auto"/>
        <w:ind w:left="720" w:hanging="720"/>
        <w:jc w:val="both"/>
        <w:rPr>
          <w:rFonts w:eastAsia="Calibri"/>
          <w:lang w:eastAsia="en-US"/>
        </w:rPr>
      </w:pPr>
      <w:r>
        <w:rPr>
          <w:rFonts w:eastAsia="Calibri"/>
          <w:lang w:eastAsia="en-US"/>
        </w:rPr>
        <w:t>A.</w:t>
      </w:r>
      <w:r>
        <w:rPr>
          <w:rFonts w:eastAsia="Calibri"/>
          <w:lang w:eastAsia="en-US"/>
        </w:rPr>
        <w:tab/>
        <w:t>The Procedural and Scheduling Order identifies multiple applicable statutes and rules</w:t>
      </w:r>
      <w:r w:rsidR="007D73DC">
        <w:rPr>
          <w:rFonts w:eastAsia="Calibri"/>
          <w:lang w:eastAsia="en-US"/>
        </w:rPr>
        <w:t xml:space="preserve">, only one of which is PURPA and its implementing regulations. This proceeding is equally governed by the Commission’s general regulatory authority over electrical utilities pursuant to O.C.G.A. §§ 46-2-20, 46-2-21 and 46-2-23, as well its more specific authority </w:t>
      </w:r>
      <w:r w:rsidR="007D73DC">
        <w:rPr>
          <w:rFonts w:eastAsia="Calibri"/>
          <w:lang w:eastAsia="en-US"/>
        </w:rPr>
        <w:lastRenderedPageBreak/>
        <w:t>under the Integrated Resource Planning Act, O.C.G.A. §§ 46-3A-1 through 11.</w:t>
      </w:r>
      <w:r w:rsidR="007A3D5E">
        <w:rPr>
          <w:rStyle w:val="FootnoteReference"/>
          <w:rFonts w:eastAsia="Calibri"/>
          <w:lang w:eastAsia="en-US"/>
        </w:rPr>
        <w:footnoteReference w:id="37"/>
      </w:r>
      <w:r w:rsidR="007D73DC">
        <w:rPr>
          <w:rFonts w:eastAsia="Calibri"/>
          <w:lang w:eastAsia="en-US"/>
        </w:rPr>
        <w:t xml:space="preserve"> Hence, we don’t find this assertion by Georgia Power persuasive, nor would it serve administrative efficiency for demand-side resources to be excluded from consideration here. </w:t>
      </w:r>
    </w:p>
    <w:p w14:paraId="347B6555" w14:textId="77777777" w:rsidR="007D73DC" w:rsidRPr="002F12B7" w:rsidRDefault="007D73DC" w:rsidP="004C71A9">
      <w:pPr>
        <w:spacing w:line="480" w:lineRule="auto"/>
        <w:ind w:left="720" w:hanging="720"/>
        <w:jc w:val="both"/>
        <w:rPr>
          <w:rFonts w:eastAsia="Calibri"/>
          <w:b/>
          <w:lang w:eastAsia="en-US"/>
        </w:rPr>
      </w:pPr>
      <w:r w:rsidRPr="002F12B7">
        <w:rPr>
          <w:rFonts w:eastAsia="Calibri"/>
          <w:b/>
          <w:lang w:eastAsia="en-US"/>
        </w:rPr>
        <w:t>Q.</w:t>
      </w:r>
      <w:r w:rsidRPr="002F12B7">
        <w:rPr>
          <w:rFonts w:eastAsia="Calibri"/>
          <w:b/>
          <w:lang w:eastAsia="en-US"/>
        </w:rPr>
        <w:tab/>
        <w:t xml:space="preserve">The Georgia Power Panel also testified that demand-side resources lie outside the scope of this proceeding because such resources are based on projected avoided cost, rather than actual avoided cost. How do you respond? </w:t>
      </w:r>
    </w:p>
    <w:p w14:paraId="7CEB46F7" w14:textId="77777777" w:rsidR="0067273C" w:rsidRPr="006B32C1" w:rsidRDefault="007D73DC" w:rsidP="004C71A9">
      <w:pPr>
        <w:spacing w:line="480" w:lineRule="auto"/>
        <w:ind w:left="720" w:hanging="720"/>
        <w:jc w:val="both"/>
        <w:rPr>
          <w:rFonts w:eastAsia="Calibri"/>
          <w:lang w:eastAsia="en-US"/>
        </w:rPr>
      </w:pPr>
      <w:r>
        <w:rPr>
          <w:rFonts w:eastAsia="Calibri"/>
          <w:lang w:eastAsia="en-US"/>
        </w:rPr>
        <w:t>A.</w:t>
      </w:r>
      <w:r>
        <w:rPr>
          <w:rFonts w:eastAsia="Calibri"/>
          <w:lang w:eastAsia="en-US"/>
        </w:rPr>
        <w:tab/>
        <w:t xml:space="preserve">This contention strikes us as disingenuous considering that Georgia Power annually files ten-year avoided cost projections in these dockets. </w:t>
      </w:r>
      <w:bookmarkEnd w:id="10"/>
    </w:p>
    <w:p w14:paraId="690E70CF" w14:textId="77777777" w:rsidR="006A2442" w:rsidRPr="00227127" w:rsidRDefault="006A2442">
      <w:pPr>
        <w:spacing w:line="480" w:lineRule="auto"/>
        <w:ind w:left="720" w:hanging="720"/>
        <w:rPr>
          <w:rFonts w:eastAsia="Calibri"/>
          <w:b/>
          <w:lang w:eastAsia="en-US"/>
        </w:rPr>
      </w:pPr>
      <w:r w:rsidRPr="00227127">
        <w:rPr>
          <w:rFonts w:eastAsia="Calibri"/>
          <w:b/>
          <w:lang w:eastAsia="en-US"/>
        </w:rPr>
        <w:t>Q.</w:t>
      </w:r>
      <w:r w:rsidRPr="00227127">
        <w:rPr>
          <w:rFonts w:eastAsia="Calibri"/>
          <w:b/>
          <w:lang w:eastAsia="en-US"/>
        </w:rPr>
        <w:tab/>
        <w:t>D</w:t>
      </w:r>
      <w:r w:rsidR="007F00DD">
        <w:rPr>
          <w:rFonts w:eastAsia="Calibri"/>
          <w:b/>
          <w:lang w:eastAsia="en-US"/>
        </w:rPr>
        <w:t>oes this conclude your testimony</w:t>
      </w:r>
      <w:r w:rsidRPr="00227127">
        <w:rPr>
          <w:rFonts w:eastAsia="Calibri"/>
          <w:b/>
          <w:lang w:eastAsia="en-US"/>
        </w:rPr>
        <w:t>?</w:t>
      </w:r>
    </w:p>
    <w:p w14:paraId="6A0A916F" w14:textId="77777777" w:rsidR="00E9796B" w:rsidRPr="00227127" w:rsidRDefault="006A2442" w:rsidP="00DE559B">
      <w:pPr>
        <w:spacing w:after="160" w:line="480" w:lineRule="auto"/>
        <w:ind w:left="720" w:hanging="720"/>
      </w:pPr>
      <w:r w:rsidRPr="00227127">
        <w:rPr>
          <w:rFonts w:eastAsia="Calibri"/>
          <w:lang w:eastAsia="en-US"/>
        </w:rPr>
        <w:t>A.</w:t>
      </w:r>
      <w:r w:rsidRPr="00227127">
        <w:rPr>
          <w:rFonts w:eastAsia="Calibri"/>
          <w:lang w:eastAsia="en-US"/>
        </w:rPr>
        <w:tab/>
        <w:t>Yes.</w:t>
      </w:r>
      <w:r w:rsidR="00162343" w:rsidRPr="00227127" w:rsidDel="00162343">
        <w:rPr>
          <w:rFonts w:eastAsia="Calibri"/>
          <w:lang w:eastAsia="en-US"/>
        </w:rPr>
        <w:t xml:space="preserve"> </w:t>
      </w:r>
    </w:p>
    <w:sectPr w:rsidR="00E9796B" w:rsidRPr="00227127" w:rsidSect="00D83BF5">
      <w:footerReference w:type="default" r:id="rId17"/>
      <w:pgSz w:w="12240" w:h="15840" w:code="1"/>
      <w:pgMar w:top="1440" w:right="1440" w:bottom="1440" w:left="1440" w:header="720" w:footer="720" w:gutter="0"/>
      <w:lnNumType w:countBy="1"/>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327BF4" w14:textId="77777777" w:rsidR="00FD64DA" w:rsidRDefault="00FD64DA" w:rsidP="005A6124">
      <w:r>
        <w:separator/>
      </w:r>
    </w:p>
  </w:endnote>
  <w:endnote w:type="continuationSeparator" w:id="0">
    <w:p w14:paraId="2F2A046E" w14:textId="77777777" w:rsidR="00FD64DA" w:rsidRDefault="00FD64DA" w:rsidP="005A61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76D621" w14:textId="77777777" w:rsidR="003C29AA" w:rsidRDefault="003C29AA" w:rsidP="00EF707F">
    <w:pPr>
      <w:pStyle w:val="Footer"/>
      <w:framePr w:wrap="around" w:vAnchor="text" w:hAnchor="margin" w:xAlign="center" w:y="1"/>
      <w:rPr>
        <w:rStyle w:val="PageNumber"/>
      </w:rPr>
    </w:pPr>
    <w:r>
      <w:rPr>
        <w:rStyle w:val="PageNumber"/>
        <w:noProof/>
      </w:rPr>
      <w:t>57</w:t>
    </w:r>
  </w:p>
  <w:p w14:paraId="67018362" w14:textId="77777777" w:rsidR="003C29AA" w:rsidRDefault="003C29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4FB5BB" w14:textId="77777777" w:rsidR="003C29AA" w:rsidRDefault="003C29AA" w:rsidP="00DB099D">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5616475"/>
      <w:docPartObj>
        <w:docPartGallery w:val="Page Numbers (Bottom of Page)"/>
        <w:docPartUnique/>
      </w:docPartObj>
    </w:sdtPr>
    <w:sdtEndPr>
      <w:rPr>
        <w:noProof/>
      </w:rPr>
    </w:sdtEndPr>
    <w:sdtContent>
      <w:p w14:paraId="2181C70B" w14:textId="77777777" w:rsidR="003C29AA" w:rsidRDefault="003C29A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ABDC465" w14:textId="77777777" w:rsidR="003C29AA" w:rsidRDefault="003C29AA" w:rsidP="00DB099D">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5055304"/>
      <w:docPartObj>
        <w:docPartGallery w:val="Page Numbers (Bottom of Page)"/>
        <w:docPartUnique/>
      </w:docPartObj>
    </w:sdtPr>
    <w:sdtEndPr>
      <w:rPr>
        <w:noProof/>
      </w:rPr>
    </w:sdtEndPr>
    <w:sdtContent>
      <w:p w14:paraId="5B9B3A4D" w14:textId="77777777" w:rsidR="003C29AA" w:rsidRDefault="00FD64DA" w:rsidP="00DB099D">
        <w:pPr>
          <w:pStyle w:val="Footer"/>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8681771"/>
      <w:docPartObj>
        <w:docPartGallery w:val="Page Numbers (Bottom of Page)"/>
        <w:docPartUnique/>
      </w:docPartObj>
    </w:sdtPr>
    <w:sdtEndPr>
      <w:rPr>
        <w:noProof/>
      </w:rPr>
    </w:sdtEndPr>
    <w:sdtContent>
      <w:p w14:paraId="7D6209BA" w14:textId="64E81707" w:rsidR="003C29AA" w:rsidRDefault="003C29AA">
        <w:pPr>
          <w:pStyle w:val="Footer"/>
          <w:jc w:val="center"/>
        </w:pPr>
        <w:r>
          <w:fldChar w:fldCharType="begin"/>
        </w:r>
        <w:r>
          <w:instrText xml:space="preserve"> PAGE   \* MERGEFORMAT </w:instrText>
        </w:r>
        <w:r>
          <w:fldChar w:fldCharType="separate"/>
        </w:r>
        <w:r w:rsidR="0067155A">
          <w:rPr>
            <w:noProof/>
          </w:rPr>
          <w:t>i</w:t>
        </w:r>
        <w:r>
          <w:rPr>
            <w:noProof/>
          </w:rPr>
          <w:fldChar w:fldCharType="end"/>
        </w:r>
      </w:p>
    </w:sdtContent>
  </w:sdt>
  <w:p w14:paraId="351C2D77" w14:textId="77777777" w:rsidR="003C29AA" w:rsidRDefault="003C29AA" w:rsidP="00DB099D">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4344942"/>
      <w:docPartObj>
        <w:docPartGallery w:val="Page Numbers (Bottom of Page)"/>
        <w:docPartUnique/>
      </w:docPartObj>
    </w:sdtPr>
    <w:sdtEndPr>
      <w:rPr>
        <w:noProof/>
      </w:rPr>
    </w:sdtEndPr>
    <w:sdtContent>
      <w:p w14:paraId="15B87586" w14:textId="445A1A46" w:rsidR="003C29AA" w:rsidRDefault="003C29AA" w:rsidP="00CD56C0">
        <w:pPr>
          <w:pStyle w:val="Footer"/>
          <w:jc w:val="center"/>
        </w:pPr>
        <w:r>
          <w:fldChar w:fldCharType="begin"/>
        </w:r>
        <w:r>
          <w:instrText xml:space="preserve"> PAGE   \* MERGEFORMAT </w:instrText>
        </w:r>
        <w:r>
          <w:fldChar w:fldCharType="separate"/>
        </w:r>
        <w:r w:rsidR="0067155A">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400FE5" w14:textId="77777777" w:rsidR="00FD64DA" w:rsidRDefault="00FD64DA" w:rsidP="005A6124">
      <w:r>
        <w:separator/>
      </w:r>
    </w:p>
  </w:footnote>
  <w:footnote w:type="continuationSeparator" w:id="0">
    <w:p w14:paraId="212A6577" w14:textId="77777777" w:rsidR="00FD64DA" w:rsidRDefault="00FD64DA" w:rsidP="005A6124">
      <w:r>
        <w:continuationSeparator/>
      </w:r>
    </w:p>
  </w:footnote>
  <w:footnote w:id="1">
    <w:p w14:paraId="4CF690D3" w14:textId="77777777" w:rsidR="003C29AA" w:rsidRPr="00EF05ED" w:rsidRDefault="003C29AA" w:rsidP="00F50583">
      <w:pPr>
        <w:spacing w:after="20"/>
        <w:rPr>
          <w:sz w:val="22"/>
          <w:szCs w:val="22"/>
        </w:rPr>
      </w:pPr>
      <w:r w:rsidRPr="003B092D">
        <w:rPr>
          <w:rStyle w:val="FootnoteReference"/>
          <w:sz w:val="22"/>
          <w:szCs w:val="22"/>
        </w:rPr>
        <w:footnoteRef/>
      </w:r>
      <w:r w:rsidRPr="00EF05ED">
        <w:rPr>
          <w:sz w:val="22"/>
          <w:szCs w:val="22"/>
        </w:rPr>
        <w:t xml:space="preserve"> Monitoring Analytics, </w:t>
      </w:r>
      <w:r w:rsidRPr="00EF05ED">
        <w:rPr>
          <w:i/>
          <w:sz w:val="22"/>
          <w:szCs w:val="22"/>
        </w:rPr>
        <w:t>2018 State of the Market Report for PJM</w:t>
      </w:r>
      <w:r w:rsidRPr="00EF05ED">
        <w:rPr>
          <w:sz w:val="22"/>
          <w:szCs w:val="22"/>
        </w:rPr>
        <w:t xml:space="preserve"> (Mar. 14, 2019), </w:t>
      </w:r>
      <w:hyperlink r:id="rId1" w:history="1">
        <w:r w:rsidRPr="00EF05ED">
          <w:rPr>
            <w:rStyle w:val="Hyperlink"/>
            <w:sz w:val="22"/>
            <w:szCs w:val="22"/>
          </w:rPr>
          <w:t>https://www.monitoringanalytics.com/reports/PJM_State_of_the_Market/2018.shtml</w:t>
        </w:r>
      </w:hyperlink>
      <w:r w:rsidRPr="00EF05ED">
        <w:rPr>
          <w:sz w:val="22"/>
          <w:szCs w:val="22"/>
        </w:rPr>
        <w:t>.</w:t>
      </w:r>
    </w:p>
  </w:footnote>
  <w:footnote w:id="2">
    <w:p w14:paraId="2A1ED468" w14:textId="77777777" w:rsidR="003C29AA" w:rsidRPr="00EF05ED" w:rsidRDefault="003C29AA" w:rsidP="00F50583">
      <w:pPr>
        <w:spacing w:after="20"/>
        <w:rPr>
          <w:sz w:val="22"/>
          <w:szCs w:val="22"/>
        </w:rPr>
      </w:pPr>
      <w:r w:rsidRPr="00EF05ED">
        <w:rPr>
          <w:rStyle w:val="FootnoteReference"/>
          <w:sz w:val="22"/>
          <w:szCs w:val="22"/>
        </w:rPr>
        <w:footnoteRef/>
      </w:r>
      <w:r w:rsidRPr="00EF05ED">
        <w:rPr>
          <w:sz w:val="22"/>
          <w:szCs w:val="22"/>
        </w:rPr>
        <w:t xml:space="preserve"> Southwest Power Pool, </w:t>
      </w:r>
      <w:r w:rsidRPr="00EF05ED">
        <w:rPr>
          <w:i/>
          <w:sz w:val="22"/>
          <w:szCs w:val="22"/>
        </w:rPr>
        <w:t>State of the Market 2018</w:t>
      </w:r>
      <w:r w:rsidRPr="00EF05ED">
        <w:rPr>
          <w:sz w:val="22"/>
          <w:szCs w:val="22"/>
        </w:rPr>
        <w:t xml:space="preserve"> (May 15, 2019), </w:t>
      </w:r>
      <w:hyperlink r:id="rId2" w:history="1">
        <w:r w:rsidRPr="00EF05ED">
          <w:rPr>
            <w:rStyle w:val="Hyperlink"/>
            <w:sz w:val="22"/>
            <w:szCs w:val="22"/>
          </w:rPr>
          <w:t>https://www.spp.org/documents/59861/2018%20annual%20state%20of%20the%20market%20report.pdf</w:t>
        </w:r>
      </w:hyperlink>
      <w:r w:rsidRPr="00EF05ED">
        <w:rPr>
          <w:sz w:val="22"/>
          <w:szCs w:val="22"/>
        </w:rPr>
        <w:t xml:space="preserve">. </w:t>
      </w:r>
    </w:p>
  </w:footnote>
  <w:footnote w:id="3">
    <w:p w14:paraId="7BC766E1"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6C3FC5">
        <w:rPr>
          <w:sz w:val="22"/>
          <w:szCs w:val="22"/>
        </w:rPr>
        <w:t>Hr’g</w:t>
      </w:r>
      <w:proofErr w:type="spellEnd"/>
      <w:r w:rsidRPr="006C3FC5">
        <w:rPr>
          <w:sz w:val="22"/>
          <w:szCs w:val="22"/>
        </w:rPr>
        <w:t xml:space="preserve"> Tr. vol. 1, 1</w:t>
      </w:r>
      <w:r>
        <w:rPr>
          <w:sz w:val="22"/>
          <w:szCs w:val="22"/>
        </w:rPr>
        <w:t>80</w:t>
      </w:r>
      <w:r w:rsidRPr="006C3FC5">
        <w:rPr>
          <w:sz w:val="22"/>
          <w:szCs w:val="22"/>
        </w:rPr>
        <w:t>:21</w:t>
      </w:r>
      <w:r>
        <w:rPr>
          <w:sz w:val="22"/>
          <w:szCs w:val="22"/>
        </w:rPr>
        <w:t xml:space="preserve"> (</w:t>
      </w:r>
      <w:r w:rsidRPr="006C3FC5">
        <w:rPr>
          <w:sz w:val="22"/>
          <w:szCs w:val="22"/>
        </w:rPr>
        <w:t>Nov. 9, 2020</w:t>
      </w:r>
      <w:r>
        <w:rPr>
          <w:sz w:val="22"/>
          <w:szCs w:val="22"/>
        </w:rPr>
        <w:t>).</w:t>
      </w:r>
    </w:p>
  </w:footnote>
  <w:footnote w:id="4">
    <w:p w14:paraId="2BC2C26C" w14:textId="77777777" w:rsidR="003C29AA" w:rsidRPr="00EF05ED" w:rsidRDefault="003C29AA" w:rsidP="00743E2E">
      <w:pPr>
        <w:pStyle w:val="FootnoteText"/>
        <w:spacing w:after="60"/>
        <w:jc w:val="both"/>
        <w:rPr>
          <w:sz w:val="22"/>
          <w:szCs w:val="22"/>
        </w:rPr>
      </w:pPr>
      <w:r w:rsidRPr="00EF05ED">
        <w:rPr>
          <w:rStyle w:val="FootnoteReference"/>
          <w:sz w:val="22"/>
          <w:szCs w:val="22"/>
        </w:rPr>
        <w:footnoteRef/>
      </w:r>
      <w:r w:rsidRPr="00EF05ED">
        <w:rPr>
          <w:sz w:val="22"/>
          <w:szCs w:val="22"/>
        </w:rPr>
        <w:t xml:space="preserve"> </w:t>
      </w:r>
      <w:r w:rsidRPr="00F50583">
        <w:rPr>
          <w:spacing w:val="-2"/>
          <w:sz w:val="22"/>
          <w:szCs w:val="22"/>
        </w:rPr>
        <w:t>Behind-the-meter distributed solar, ground-mounted solar fixed, ground-mounted solar tracking and wind.</w:t>
      </w:r>
    </w:p>
  </w:footnote>
  <w:footnote w:id="5">
    <w:p w14:paraId="69A9664C" w14:textId="77777777" w:rsidR="003C29AA" w:rsidRPr="00EF05ED" w:rsidRDefault="003C29AA" w:rsidP="00743E2E">
      <w:pPr>
        <w:pStyle w:val="FootnoteText"/>
        <w:spacing w:after="60"/>
        <w:jc w:val="both"/>
        <w:rPr>
          <w:sz w:val="22"/>
          <w:szCs w:val="22"/>
        </w:rPr>
      </w:pPr>
      <w:r w:rsidRPr="00EF05ED">
        <w:rPr>
          <w:rStyle w:val="FootnoteReference"/>
          <w:sz w:val="22"/>
          <w:szCs w:val="22"/>
        </w:rPr>
        <w:footnoteRef/>
      </w:r>
      <w:r w:rsidRPr="00EF05ED">
        <w:rPr>
          <w:sz w:val="22"/>
          <w:szCs w:val="22"/>
        </w:rPr>
        <w:t xml:space="preserve"> The data is designated as trade secret, so we will only discuss it generally, without providing detailed information that could allow someone to derive confidential figures.</w:t>
      </w:r>
    </w:p>
  </w:footnote>
  <w:footnote w:id="6">
    <w:p w14:paraId="22C6733D" w14:textId="77777777" w:rsidR="003C29AA" w:rsidRPr="00EF05ED" w:rsidRDefault="003C29AA" w:rsidP="002366D1">
      <w:pPr>
        <w:pStyle w:val="FootnoteText"/>
        <w:jc w:val="both"/>
        <w:rPr>
          <w:sz w:val="22"/>
          <w:szCs w:val="22"/>
        </w:rPr>
      </w:pPr>
      <w:r w:rsidRPr="00EF05ED">
        <w:rPr>
          <w:rStyle w:val="FootnoteReference"/>
          <w:sz w:val="22"/>
          <w:szCs w:val="22"/>
        </w:rPr>
        <w:footnoteRef/>
      </w:r>
      <w:r w:rsidRPr="00EF05ED">
        <w:rPr>
          <w:sz w:val="22"/>
          <w:szCs w:val="22"/>
        </w:rPr>
        <w:t xml:space="preserve"> Georgia Power proposes static transmission and distribution loss factors that do not change year to year; the Support Capacity adjustments, though, </w:t>
      </w:r>
      <w:r>
        <w:rPr>
          <w:sz w:val="22"/>
          <w:szCs w:val="22"/>
        </w:rPr>
        <w:t xml:space="preserve">do </w:t>
      </w:r>
      <w:r w:rsidRPr="00EF05ED">
        <w:rPr>
          <w:sz w:val="22"/>
          <w:szCs w:val="22"/>
        </w:rPr>
        <w:t>vary year to year.</w:t>
      </w:r>
    </w:p>
  </w:footnote>
  <w:footnote w:id="7">
    <w:p w14:paraId="323FA7C7" w14:textId="77777777" w:rsidR="003C29AA" w:rsidRPr="00EF05ED" w:rsidRDefault="003C29AA" w:rsidP="00F50583">
      <w:pPr>
        <w:pStyle w:val="FootnoteText"/>
        <w:spacing w:after="100"/>
        <w:rPr>
          <w:sz w:val="22"/>
          <w:szCs w:val="22"/>
        </w:rPr>
      </w:pPr>
      <w:r w:rsidRPr="00EF05ED">
        <w:rPr>
          <w:rStyle w:val="FootnoteReference"/>
          <w:sz w:val="22"/>
          <w:szCs w:val="22"/>
        </w:rPr>
        <w:footnoteRef/>
      </w:r>
      <w:r w:rsidRPr="00EF05ED">
        <w:rPr>
          <w:sz w:val="22"/>
          <w:szCs w:val="22"/>
        </w:rPr>
        <w:t xml:space="preserve"> </w:t>
      </w:r>
      <w:r>
        <w:rPr>
          <w:sz w:val="22"/>
          <w:szCs w:val="22"/>
        </w:rPr>
        <w:t xml:space="preserve">GPC. </w:t>
      </w:r>
      <w:r w:rsidRPr="00EF05ED">
        <w:rPr>
          <w:sz w:val="22"/>
          <w:szCs w:val="22"/>
        </w:rPr>
        <w:t>2019 Avoided Cost Projections, D</w:t>
      </w:r>
      <w:r>
        <w:rPr>
          <w:sz w:val="22"/>
          <w:szCs w:val="22"/>
        </w:rPr>
        <w:t>ocket No.</w:t>
      </w:r>
      <w:r w:rsidRPr="00EF05ED">
        <w:rPr>
          <w:sz w:val="22"/>
          <w:szCs w:val="22"/>
        </w:rPr>
        <w:t xml:space="preserve"> 4822 (Dec. 19, 2019), </w:t>
      </w:r>
      <w:r>
        <w:rPr>
          <w:sz w:val="22"/>
          <w:szCs w:val="22"/>
        </w:rPr>
        <w:br/>
      </w:r>
      <w:hyperlink r:id="rId3" w:history="1">
        <w:r w:rsidRPr="00EF05ED">
          <w:rPr>
            <w:rStyle w:val="Hyperlink"/>
            <w:sz w:val="22"/>
            <w:szCs w:val="22"/>
          </w:rPr>
          <w:t>https://psc.ga.gov/search/facts-document/?documentId=179259</w:t>
        </w:r>
      </w:hyperlink>
      <w:r w:rsidRPr="00EF05ED">
        <w:rPr>
          <w:sz w:val="22"/>
          <w:szCs w:val="22"/>
        </w:rPr>
        <w:t xml:space="preserve">. </w:t>
      </w:r>
    </w:p>
  </w:footnote>
  <w:footnote w:id="8">
    <w:p w14:paraId="4F14551C" w14:textId="77777777" w:rsidR="003C29AA" w:rsidRPr="00EF05ED" w:rsidRDefault="003C29AA" w:rsidP="00F50583">
      <w:pPr>
        <w:pStyle w:val="FootnoteText"/>
        <w:spacing w:after="100"/>
        <w:rPr>
          <w:sz w:val="22"/>
          <w:szCs w:val="22"/>
        </w:rPr>
      </w:pPr>
      <w:r w:rsidRPr="00EF05ED">
        <w:rPr>
          <w:rStyle w:val="FootnoteReference"/>
          <w:sz w:val="22"/>
          <w:szCs w:val="22"/>
        </w:rPr>
        <w:footnoteRef/>
      </w:r>
      <w:r w:rsidRPr="00EF05ED">
        <w:rPr>
          <w:sz w:val="22"/>
          <w:szCs w:val="22"/>
        </w:rPr>
        <w:t xml:space="preserve"> </w:t>
      </w:r>
      <w:r>
        <w:rPr>
          <w:sz w:val="22"/>
          <w:szCs w:val="22"/>
        </w:rPr>
        <w:t xml:space="preserve">GPC. </w:t>
      </w:r>
      <w:r w:rsidRPr="00EF05ED">
        <w:rPr>
          <w:sz w:val="22"/>
          <w:szCs w:val="22"/>
        </w:rPr>
        <w:t>2019 Avoided Cost Projections - Errata, D</w:t>
      </w:r>
      <w:r>
        <w:rPr>
          <w:sz w:val="22"/>
          <w:szCs w:val="22"/>
        </w:rPr>
        <w:t>ocket No.</w:t>
      </w:r>
      <w:r w:rsidRPr="00EF05ED">
        <w:rPr>
          <w:sz w:val="22"/>
          <w:szCs w:val="22"/>
        </w:rPr>
        <w:t xml:space="preserve"> 4822 (May 13, 2020), </w:t>
      </w:r>
      <w:r>
        <w:rPr>
          <w:sz w:val="22"/>
          <w:szCs w:val="22"/>
        </w:rPr>
        <w:br/>
      </w:r>
      <w:hyperlink r:id="rId4" w:history="1">
        <w:r w:rsidRPr="00EF05ED">
          <w:rPr>
            <w:rStyle w:val="Hyperlink"/>
            <w:sz w:val="22"/>
            <w:szCs w:val="22"/>
          </w:rPr>
          <w:t>https://psc.ga.gov/search/facts-document/?documentId=181182</w:t>
        </w:r>
      </w:hyperlink>
      <w:r w:rsidRPr="00EF05ED">
        <w:rPr>
          <w:sz w:val="22"/>
          <w:szCs w:val="22"/>
        </w:rPr>
        <w:t xml:space="preserve">. </w:t>
      </w:r>
    </w:p>
  </w:footnote>
  <w:footnote w:id="9">
    <w:p w14:paraId="5A11E884" w14:textId="77777777" w:rsidR="003C29AA" w:rsidRPr="00EF05ED" w:rsidRDefault="003C29AA" w:rsidP="00F50583">
      <w:pPr>
        <w:pStyle w:val="FootnoteText"/>
        <w:spacing w:after="100"/>
        <w:rPr>
          <w:sz w:val="22"/>
          <w:szCs w:val="22"/>
        </w:rPr>
      </w:pPr>
      <w:r w:rsidRPr="00EF05ED">
        <w:rPr>
          <w:rStyle w:val="FootnoteReference"/>
          <w:sz w:val="22"/>
          <w:szCs w:val="22"/>
        </w:rPr>
        <w:footnoteRef/>
      </w:r>
      <w:r w:rsidRPr="00EF05ED">
        <w:rPr>
          <w:sz w:val="22"/>
          <w:szCs w:val="22"/>
        </w:rPr>
        <w:t xml:space="preserve"> </w:t>
      </w:r>
      <w:r>
        <w:rPr>
          <w:sz w:val="22"/>
          <w:szCs w:val="22"/>
        </w:rPr>
        <w:t xml:space="preserve">GPC. </w:t>
      </w:r>
      <w:r w:rsidRPr="00EF05ED">
        <w:rPr>
          <w:sz w:val="22"/>
          <w:szCs w:val="22"/>
        </w:rPr>
        <w:t>2020 Avoided Cost Projections, D</w:t>
      </w:r>
      <w:r>
        <w:rPr>
          <w:sz w:val="22"/>
          <w:szCs w:val="22"/>
        </w:rPr>
        <w:t xml:space="preserve">ocket No. </w:t>
      </w:r>
      <w:r w:rsidRPr="00EF05ED">
        <w:rPr>
          <w:sz w:val="22"/>
          <w:szCs w:val="22"/>
        </w:rPr>
        <w:t xml:space="preserve">4822 (June 16, 2020), </w:t>
      </w:r>
      <w:r>
        <w:rPr>
          <w:sz w:val="22"/>
          <w:szCs w:val="22"/>
        </w:rPr>
        <w:br/>
      </w:r>
      <w:hyperlink r:id="rId5" w:history="1">
        <w:r w:rsidRPr="00EF05ED">
          <w:rPr>
            <w:rStyle w:val="Hyperlink"/>
            <w:sz w:val="22"/>
            <w:szCs w:val="22"/>
          </w:rPr>
          <w:t>https://psc.ga.gov/search/facts-document/?documentId=181567</w:t>
        </w:r>
      </w:hyperlink>
      <w:r w:rsidRPr="00EF05ED">
        <w:rPr>
          <w:sz w:val="22"/>
          <w:szCs w:val="22"/>
        </w:rPr>
        <w:t xml:space="preserve">. </w:t>
      </w:r>
    </w:p>
  </w:footnote>
  <w:footnote w:id="10">
    <w:p w14:paraId="7C11E585" w14:textId="77777777" w:rsidR="003C29AA" w:rsidRPr="00EF05ED" w:rsidRDefault="003C29AA" w:rsidP="002366D1">
      <w:pPr>
        <w:pStyle w:val="FootnoteText"/>
        <w:jc w:val="both"/>
        <w:rPr>
          <w:sz w:val="22"/>
          <w:szCs w:val="22"/>
        </w:rPr>
      </w:pPr>
      <w:r w:rsidRPr="00EF05ED">
        <w:rPr>
          <w:rStyle w:val="FootnoteReference"/>
          <w:sz w:val="22"/>
          <w:szCs w:val="22"/>
        </w:rPr>
        <w:footnoteRef/>
      </w:r>
      <w:r w:rsidRPr="00EF05ED">
        <w:rPr>
          <w:sz w:val="22"/>
          <w:szCs w:val="22"/>
        </w:rPr>
        <w:t xml:space="preserve"> Prior annual avoided cost filings included one solar avoided cost, while the version filed in this docket proposes to include five technology-specific renewable avoided cost projections.</w:t>
      </w:r>
    </w:p>
  </w:footnote>
  <w:footnote w:id="11">
    <w:p w14:paraId="559F09CA" w14:textId="77777777" w:rsidR="003C29AA" w:rsidRPr="00EF05ED" w:rsidRDefault="003C29AA" w:rsidP="00BC36A4">
      <w:pPr>
        <w:spacing w:after="60"/>
        <w:rPr>
          <w:sz w:val="22"/>
          <w:szCs w:val="22"/>
        </w:rPr>
      </w:pPr>
      <w:r w:rsidRPr="00EF05ED">
        <w:rPr>
          <w:rStyle w:val="FootnoteReference"/>
          <w:sz w:val="22"/>
          <w:szCs w:val="22"/>
        </w:rPr>
        <w:footnoteRef/>
      </w:r>
      <w:r w:rsidRPr="00EF05ED">
        <w:rPr>
          <w:sz w:val="22"/>
          <w:szCs w:val="22"/>
        </w:rPr>
        <w:t xml:space="preserve"> </w:t>
      </w:r>
      <w:r w:rsidRPr="00EF05ED">
        <w:rPr>
          <w:spacing w:val="-2"/>
          <w:sz w:val="22"/>
          <w:szCs w:val="22"/>
        </w:rPr>
        <w:t>Georgia Power Company (GPC) Resp. to Staff Data Request, STF-6-5, Doc. No. 182767 (Oct. 13, 2020);</w:t>
      </w:r>
      <w:r w:rsidRPr="00EF05ED">
        <w:rPr>
          <w:sz w:val="22"/>
          <w:szCs w:val="22"/>
        </w:rPr>
        <w:t xml:space="preserve"> U.S. Energy Information Administration (EIA), </w:t>
      </w:r>
      <w:r w:rsidRPr="00EF05ED">
        <w:rPr>
          <w:i/>
          <w:sz w:val="22"/>
          <w:szCs w:val="22"/>
        </w:rPr>
        <w:t xml:space="preserve">Form EIA-860 </w:t>
      </w:r>
      <w:r w:rsidRPr="00EF05ED">
        <w:rPr>
          <w:rStyle w:val="Emphasis"/>
          <w:sz w:val="22"/>
          <w:szCs w:val="22"/>
        </w:rPr>
        <w:t>Schedule 2.</w:t>
      </w:r>
    </w:p>
  </w:footnote>
  <w:footnote w:id="12">
    <w:p w14:paraId="51476891" w14:textId="77777777" w:rsidR="003C29AA" w:rsidRPr="00EF05ED" w:rsidRDefault="003C29AA" w:rsidP="00F50583">
      <w:pPr>
        <w:spacing w:after="20"/>
        <w:rPr>
          <w:sz w:val="22"/>
          <w:szCs w:val="22"/>
        </w:rPr>
      </w:pPr>
      <w:r w:rsidRPr="00EF05ED">
        <w:rPr>
          <w:rStyle w:val="FootnoteReference"/>
          <w:sz w:val="22"/>
          <w:szCs w:val="22"/>
        </w:rPr>
        <w:footnoteRef/>
      </w:r>
      <w:r w:rsidRPr="00EF05ED">
        <w:rPr>
          <w:sz w:val="22"/>
          <w:szCs w:val="22"/>
        </w:rPr>
        <w:t xml:space="preserve"> Solar Energy Indus. Ass’n, </w:t>
      </w:r>
      <w:r w:rsidRPr="00EF05ED">
        <w:rPr>
          <w:i/>
          <w:sz w:val="22"/>
          <w:szCs w:val="22"/>
        </w:rPr>
        <w:t>State Solar Spotlight: Georgia</w:t>
      </w:r>
      <w:r w:rsidRPr="00EF05ED">
        <w:rPr>
          <w:sz w:val="22"/>
          <w:szCs w:val="22"/>
        </w:rPr>
        <w:t xml:space="preserve"> (Sept. 10, 2020), </w:t>
      </w:r>
      <w:hyperlink r:id="rId6" w:history="1">
        <w:r w:rsidRPr="00EF05ED">
          <w:rPr>
            <w:rStyle w:val="Hyperlink"/>
            <w:sz w:val="22"/>
            <w:szCs w:val="22"/>
          </w:rPr>
          <w:t>https://www.seia.org/sites/default/files/2020-09/Georgia.pdf</w:t>
        </w:r>
      </w:hyperlink>
      <w:r w:rsidRPr="00EF05ED">
        <w:rPr>
          <w:sz w:val="22"/>
          <w:szCs w:val="22"/>
        </w:rPr>
        <w:t>.</w:t>
      </w:r>
    </w:p>
  </w:footnote>
  <w:footnote w:id="13">
    <w:p w14:paraId="3B8368E1"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r w:rsidRPr="006C3FC5">
        <w:rPr>
          <w:sz w:val="22"/>
          <w:szCs w:val="22"/>
        </w:rPr>
        <w:t>Grubb, Mallard &amp; Weathers Test. 3</w:t>
      </w:r>
      <w:r>
        <w:rPr>
          <w:sz w:val="22"/>
          <w:szCs w:val="22"/>
        </w:rPr>
        <w:t>1</w:t>
      </w:r>
      <w:r w:rsidRPr="006C3FC5">
        <w:rPr>
          <w:sz w:val="22"/>
          <w:szCs w:val="22"/>
        </w:rPr>
        <w:t>:</w:t>
      </w:r>
      <w:r>
        <w:rPr>
          <w:sz w:val="22"/>
          <w:szCs w:val="22"/>
        </w:rPr>
        <w:t xml:space="preserve">26, </w:t>
      </w:r>
      <w:r w:rsidRPr="006C3FC5">
        <w:rPr>
          <w:sz w:val="22"/>
          <w:szCs w:val="22"/>
        </w:rPr>
        <w:t>Sept. 18, 2020, Doc. No. 182529.</w:t>
      </w:r>
    </w:p>
  </w:footnote>
  <w:footnote w:id="14">
    <w:p w14:paraId="3B5B5049"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r w:rsidRPr="00EF05ED">
        <w:rPr>
          <w:iCs/>
          <w:sz w:val="22"/>
          <w:szCs w:val="22"/>
        </w:rPr>
        <w:t xml:space="preserve">Implementation Issues Under the Public Utility Regulatory Policies Act of 1978, </w:t>
      </w:r>
      <w:r w:rsidRPr="00EF05ED">
        <w:rPr>
          <w:sz w:val="22"/>
          <w:szCs w:val="22"/>
        </w:rPr>
        <w:t>172 FERC ¶ 61,041 (“Order No. 872”), at 430-431 (Sept. 2, 2020).</w:t>
      </w:r>
    </w:p>
  </w:footnote>
  <w:footnote w:id="15">
    <w:p w14:paraId="3923E47A"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EF05ED">
        <w:rPr>
          <w:sz w:val="22"/>
          <w:szCs w:val="22"/>
        </w:rPr>
        <w:t>Hr’g</w:t>
      </w:r>
      <w:proofErr w:type="spellEnd"/>
      <w:r w:rsidRPr="00EF05ED">
        <w:rPr>
          <w:sz w:val="22"/>
          <w:szCs w:val="22"/>
        </w:rPr>
        <w:t xml:space="preserve"> Tr. vol. 1, 182:24-183:3.</w:t>
      </w:r>
    </w:p>
  </w:footnote>
  <w:footnote w:id="16">
    <w:p w14:paraId="3100DBA3"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r w:rsidRPr="00EF05ED">
        <w:rPr>
          <w:i/>
          <w:sz w:val="22"/>
          <w:szCs w:val="22"/>
        </w:rPr>
        <w:t>See</w:t>
      </w:r>
      <w:r w:rsidRPr="00EF05ED">
        <w:rPr>
          <w:sz w:val="22"/>
          <w:szCs w:val="22"/>
        </w:rPr>
        <w:t xml:space="preserve"> Commission Rule 515-3-4-.04(2</w:t>
      </w:r>
      <w:proofErr w:type="gramStart"/>
      <w:r w:rsidRPr="00EF05ED">
        <w:rPr>
          <w:sz w:val="22"/>
          <w:szCs w:val="22"/>
        </w:rPr>
        <w:t>)(</w:t>
      </w:r>
      <w:proofErr w:type="gramEnd"/>
      <w:r w:rsidRPr="00EF05ED">
        <w:rPr>
          <w:sz w:val="22"/>
          <w:szCs w:val="22"/>
        </w:rPr>
        <w:t xml:space="preserve">c)6. </w:t>
      </w:r>
    </w:p>
  </w:footnote>
  <w:footnote w:id="17">
    <w:p w14:paraId="08F6C25A"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EF05ED">
        <w:rPr>
          <w:sz w:val="22"/>
          <w:szCs w:val="22"/>
        </w:rPr>
        <w:t>Hr’g</w:t>
      </w:r>
      <w:proofErr w:type="spellEnd"/>
      <w:r w:rsidRPr="00EF05ED">
        <w:rPr>
          <w:sz w:val="22"/>
          <w:szCs w:val="22"/>
        </w:rPr>
        <w:t xml:space="preserve"> Tr. vol. 1, 346:7-9.</w:t>
      </w:r>
    </w:p>
  </w:footnote>
  <w:footnote w:id="18">
    <w:p w14:paraId="7D8AAAC4" w14:textId="77777777" w:rsidR="003C29AA" w:rsidRPr="00EF05ED" w:rsidRDefault="003C29AA" w:rsidP="002366D1">
      <w:pPr>
        <w:pStyle w:val="FootnoteText"/>
        <w:spacing w:after="60"/>
        <w:jc w:val="both"/>
        <w:rPr>
          <w:sz w:val="22"/>
          <w:szCs w:val="22"/>
        </w:rPr>
      </w:pPr>
      <w:r w:rsidRPr="00EF05ED">
        <w:rPr>
          <w:rStyle w:val="FootnoteReference"/>
          <w:sz w:val="22"/>
          <w:szCs w:val="22"/>
        </w:rPr>
        <w:footnoteRef/>
      </w:r>
      <w:r w:rsidRPr="00EF05ED">
        <w:rPr>
          <w:sz w:val="22"/>
          <w:szCs w:val="22"/>
        </w:rPr>
        <w:t xml:space="preserve"> Notably, in our view an “all source” procurement would also mean allowing demand side management resources to bid in as well. These valuable resources could save customers money and provide non</w:t>
      </w:r>
      <w:r>
        <w:rPr>
          <w:sz w:val="22"/>
          <w:szCs w:val="22"/>
        </w:rPr>
        <w:t>-</w:t>
      </w:r>
      <w:r w:rsidRPr="00EF05ED">
        <w:rPr>
          <w:sz w:val="22"/>
          <w:szCs w:val="22"/>
        </w:rPr>
        <w:t>wires alternatives to expensive transmission and distribution system upgrades.</w:t>
      </w:r>
    </w:p>
  </w:footnote>
  <w:footnote w:id="19">
    <w:p w14:paraId="4BC62A9F" w14:textId="77777777" w:rsidR="003C29AA" w:rsidRPr="00EF05ED" w:rsidRDefault="003C29AA" w:rsidP="00F50583">
      <w:pPr>
        <w:spacing w:after="20"/>
        <w:rPr>
          <w:sz w:val="22"/>
          <w:szCs w:val="22"/>
        </w:rPr>
      </w:pPr>
      <w:r w:rsidRPr="00EF05ED">
        <w:rPr>
          <w:rStyle w:val="FootnoteReference"/>
          <w:sz w:val="22"/>
          <w:szCs w:val="22"/>
        </w:rPr>
        <w:footnoteRef/>
      </w:r>
      <w:r w:rsidRPr="00EF05ED">
        <w:rPr>
          <w:sz w:val="22"/>
          <w:szCs w:val="22"/>
        </w:rPr>
        <w:t xml:space="preserve"> </w:t>
      </w:r>
      <w:r w:rsidRPr="00EF05ED">
        <w:rPr>
          <w:i/>
          <w:sz w:val="22"/>
          <w:szCs w:val="22"/>
        </w:rPr>
        <w:t xml:space="preserve">See </w:t>
      </w:r>
      <w:r w:rsidRPr="00EF05ED">
        <w:rPr>
          <w:sz w:val="22"/>
          <w:szCs w:val="22"/>
        </w:rPr>
        <w:t xml:space="preserve">Order No. 872 at 430 </w:t>
      </w:r>
      <w:r w:rsidRPr="00EF05ED">
        <w:rPr>
          <w:i/>
          <w:sz w:val="22"/>
          <w:szCs w:val="22"/>
        </w:rPr>
        <w:t>and</w:t>
      </w:r>
      <w:r w:rsidRPr="00EF05ED">
        <w:rPr>
          <w:sz w:val="22"/>
          <w:szCs w:val="22"/>
        </w:rPr>
        <w:t xml:space="preserve"> Allegheny Energy Supply, 108 FERC ¶ 61,082, P 22 (July 29, 2004).</w:t>
      </w:r>
    </w:p>
  </w:footnote>
  <w:footnote w:id="20">
    <w:p w14:paraId="0C5DF4B3" w14:textId="77777777" w:rsidR="003C29AA" w:rsidRPr="00EF05ED" w:rsidRDefault="003C29AA" w:rsidP="00F50583">
      <w:pPr>
        <w:spacing w:after="20"/>
        <w:rPr>
          <w:sz w:val="22"/>
          <w:szCs w:val="22"/>
        </w:rPr>
      </w:pPr>
      <w:r w:rsidRPr="00EF05ED">
        <w:rPr>
          <w:rStyle w:val="FootnoteReference"/>
          <w:sz w:val="22"/>
          <w:szCs w:val="22"/>
        </w:rPr>
        <w:footnoteRef/>
      </w:r>
      <w:r w:rsidRPr="00EF05ED">
        <w:rPr>
          <w:sz w:val="22"/>
          <w:szCs w:val="22"/>
        </w:rPr>
        <w:t xml:space="preserve"> Grubb, Mallard &amp; Weathers Test. </w:t>
      </w:r>
      <w:r>
        <w:rPr>
          <w:sz w:val="22"/>
          <w:szCs w:val="22"/>
        </w:rPr>
        <w:t xml:space="preserve">at </w:t>
      </w:r>
      <w:r w:rsidRPr="00EF05ED">
        <w:rPr>
          <w:sz w:val="22"/>
          <w:szCs w:val="22"/>
        </w:rPr>
        <w:t>32:14-15</w:t>
      </w:r>
      <w:r>
        <w:rPr>
          <w:sz w:val="22"/>
          <w:szCs w:val="22"/>
        </w:rPr>
        <w:t>.</w:t>
      </w:r>
    </w:p>
  </w:footnote>
  <w:footnote w:id="21">
    <w:p w14:paraId="0B812FD4" w14:textId="77777777" w:rsidR="003C29AA" w:rsidRPr="00EF05ED" w:rsidRDefault="003C29AA">
      <w:pPr>
        <w:spacing w:after="60"/>
        <w:rPr>
          <w:sz w:val="22"/>
          <w:szCs w:val="22"/>
        </w:rPr>
      </w:pPr>
      <w:r w:rsidRPr="00EF05ED">
        <w:rPr>
          <w:rStyle w:val="FootnoteReference"/>
          <w:sz w:val="22"/>
          <w:szCs w:val="22"/>
        </w:rPr>
        <w:footnoteRef/>
      </w:r>
      <w:r w:rsidRPr="00EF05ED">
        <w:rPr>
          <w:sz w:val="22"/>
          <w:szCs w:val="22"/>
        </w:rPr>
        <w:t xml:space="preserve"> </w:t>
      </w:r>
      <w:bookmarkStart w:id="21" w:name="_Hlk57212706"/>
      <w:r w:rsidRPr="00EF05ED">
        <w:rPr>
          <w:sz w:val="22"/>
          <w:szCs w:val="22"/>
        </w:rPr>
        <w:t xml:space="preserve">GPC. Standard Contract for the Purchase of Firm Capacity and Energy from a Qualifying Facility, </w:t>
      </w:r>
      <w:r w:rsidRPr="00EF05ED">
        <w:rPr>
          <w:sz w:val="22"/>
          <w:szCs w:val="22"/>
        </w:rPr>
        <w:br/>
        <w:t>Pro Forma PPA (Sept. 18, 2020), at 2.</w:t>
      </w:r>
      <w:bookmarkEnd w:id="21"/>
    </w:p>
  </w:footnote>
  <w:footnote w:id="22">
    <w:p w14:paraId="76147F5A" w14:textId="77777777" w:rsidR="003C29AA" w:rsidRPr="00EF05ED" w:rsidRDefault="003C29AA" w:rsidP="00F50583">
      <w:pPr>
        <w:spacing w:after="20"/>
        <w:rPr>
          <w:sz w:val="22"/>
          <w:szCs w:val="22"/>
        </w:rPr>
      </w:pPr>
      <w:r w:rsidRPr="00EF05ED">
        <w:rPr>
          <w:rStyle w:val="FootnoteReference"/>
          <w:sz w:val="22"/>
          <w:szCs w:val="22"/>
        </w:rPr>
        <w:footnoteRef/>
      </w:r>
      <w:r w:rsidRPr="00EF05ED">
        <w:rPr>
          <w:sz w:val="22"/>
          <w:szCs w:val="22"/>
        </w:rPr>
        <w:t xml:space="preserve"> GPC. Resp. to Staff Data Request, STF-4-16, Doc. No. 182180 (Aug. 12, 2020).</w:t>
      </w:r>
    </w:p>
  </w:footnote>
  <w:footnote w:id="23">
    <w:p w14:paraId="0B668766" w14:textId="77777777" w:rsidR="003C29AA" w:rsidRPr="00EF05ED" w:rsidRDefault="003C29AA">
      <w:pPr>
        <w:pStyle w:val="FootnoteText"/>
        <w:spacing w:after="60"/>
        <w:rPr>
          <w:sz w:val="22"/>
          <w:szCs w:val="22"/>
        </w:rPr>
      </w:pPr>
      <w:r w:rsidRPr="00EF05ED">
        <w:rPr>
          <w:rStyle w:val="FootnoteReference"/>
          <w:sz w:val="22"/>
          <w:szCs w:val="22"/>
        </w:rPr>
        <w:footnoteRef/>
      </w:r>
      <w:r w:rsidRPr="00EF05ED">
        <w:rPr>
          <w:sz w:val="22"/>
          <w:szCs w:val="22"/>
        </w:rPr>
        <w:t xml:space="preserve"> GPC. Standard Contract for the Purchase of Firm Capacity and Energy from a Renewable Qualifying Facility Utilizing the Proxy Unit Methodology (Sept. 18, 2020).</w:t>
      </w:r>
    </w:p>
  </w:footnote>
  <w:footnote w:id="24">
    <w:p w14:paraId="77651683" w14:textId="77777777" w:rsidR="003C29AA" w:rsidRPr="00EF05ED" w:rsidRDefault="003C29AA">
      <w:pPr>
        <w:pStyle w:val="FootnoteText"/>
        <w:spacing w:after="60"/>
        <w:rPr>
          <w:sz w:val="22"/>
          <w:szCs w:val="22"/>
        </w:rPr>
      </w:pPr>
      <w:r w:rsidRPr="00EF05ED">
        <w:rPr>
          <w:rStyle w:val="FootnoteReference"/>
          <w:sz w:val="22"/>
          <w:szCs w:val="22"/>
        </w:rPr>
        <w:footnoteRef/>
      </w:r>
      <w:r w:rsidRPr="00EF05ED">
        <w:rPr>
          <w:sz w:val="22"/>
          <w:szCs w:val="22"/>
        </w:rPr>
        <w:t xml:space="preserve"> </w:t>
      </w:r>
      <w:r w:rsidRPr="00EF05ED">
        <w:rPr>
          <w:i/>
          <w:sz w:val="22"/>
          <w:szCs w:val="22"/>
        </w:rPr>
        <w:t>Id.</w:t>
      </w:r>
      <w:r w:rsidRPr="00EF05ED">
        <w:rPr>
          <w:sz w:val="22"/>
          <w:szCs w:val="22"/>
        </w:rPr>
        <w:t xml:space="preserve"> at 4.</w:t>
      </w:r>
    </w:p>
  </w:footnote>
  <w:footnote w:id="25">
    <w:p w14:paraId="7C1DA436"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EF05ED">
        <w:rPr>
          <w:sz w:val="22"/>
          <w:szCs w:val="22"/>
        </w:rPr>
        <w:t>Hr’g</w:t>
      </w:r>
      <w:proofErr w:type="spellEnd"/>
      <w:r w:rsidRPr="00EF05ED">
        <w:rPr>
          <w:sz w:val="22"/>
          <w:szCs w:val="22"/>
        </w:rPr>
        <w:t xml:space="preserve"> Tr. vol. 1, 121:5.</w:t>
      </w:r>
    </w:p>
  </w:footnote>
  <w:footnote w:id="26">
    <w:p w14:paraId="183198F1"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r w:rsidRPr="00EF05ED">
        <w:rPr>
          <w:i/>
          <w:sz w:val="22"/>
          <w:szCs w:val="22"/>
        </w:rPr>
        <w:t>Id.</w:t>
      </w:r>
      <w:r w:rsidRPr="00EF05ED">
        <w:rPr>
          <w:sz w:val="22"/>
          <w:szCs w:val="22"/>
        </w:rPr>
        <w:t xml:space="preserve"> at 170:2. </w:t>
      </w:r>
    </w:p>
  </w:footnote>
  <w:footnote w:id="27">
    <w:p w14:paraId="41C509A0"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r w:rsidRPr="00EF05ED">
        <w:rPr>
          <w:i/>
          <w:sz w:val="22"/>
          <w:szCs w:val="22"/>
        </w:rPr>
        <w:t>Id.</w:t>
      </w:r>
      <w:r w:rsidRPr="00EF05ED">
        <w:rPr>
          <w:sz w:val="22"/>
          <w:szCs w:val="22"/>
        </w:rPr>
        <w:t xml:space="preserve"> at 170:10-12. </w:t>
      </w:r>
    </w:p>
  </w:footnote>
  <w:footnote w:id="28">
    <w:p w14:paraId="3F0F222E"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Grubb, Mallard &amp; Weathers Test. at 46:18-47:4.</w:t>
      </w:r>
    </w:p>
  </w:footnote>
  <w:footnote w:id="29">
    <w:p w14:paraId="429F1D7F"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45 Fed. Reg. 12214, 12224 (Feb. 25, 1980) (emphasis added).</w:t>
      </w:r>
    </w:p>
  </w:footnote>
  <w:footnote w:id="30">
    <w:p w14:paraId="6D3B625B" w14:textId="77777777" w:rsidR="003C29AA" w:rsidRPr="00EF05ED" w:rsidRDefault="003C29AA" w:rsidP="00534867">
      <w:pPr>
        <w:pStyle w:val="FootnoteText"/>
        <w:spacing w:after="20"/>
        <w:jc w:val="both"/>
        <w:rPr>
          <w:sz w:val="22"/>
          <w:szCs w:val="22"/>
        </w:rPr>
      </w:pPr>
      <w:r w:rsidRPr="00EF05ED">
        <w:rPr>
          <w:rStyle w:val="FootnoteReference"/>
          <w:sz w:val="22"/>
          <w:szCs w:val="22"/>
        </w:rPr>
        <w:footnoteRef/>
      </w:r>
      <w:r w:rsidRPr="00EF05ED">
        <w:rPr>
          <w:sz w:val="22"/>
          <w:szCs w:val="22"/>
        </w:rPr>
        <w:t xml:space="preserve"> </w:t>
      </w:r>
      <w:r w:rsidRPr="00EF05ED">
        <w:rPr>
          <w:i/>
          <w:sz w:val="22"/>
          <w:szCs w:val="22"/>
        </w:rPr>
        <w:t>See, e.g.</w:t>
      </w:r>
      <w:r w:rsidRPr="00EF05ED">
        <w:rPr>
          <w:sz w:val="22"/>
          <w:szCs w:val="22"/>
        </w:rPr>
        <w:t xml:space="preserve">, </w:t>
      </w:r>
      <w:r>
        <w:rPr>
          <w:sz w:val="22"/>
          <w:szCs w:val="22"/>
        </w:rPr>
        <w:t xml:space="preserve">GPC. </w:t>
      </w:r>
      <w:r w:rsidRPr="00EF05ED">
        <w:rPr>
          <w:sz w:val="22"/>
          <w:szCs w:val="22"/>
        </w:rPr>
        <w:t xml:space="preserve">IRP Technical </w:t>
      </w:r>
      <w:proofErr w:type="spellStart"/>
      <w:r w:rsidRPr="00EF05ED">
        <w:rPr>
          <w:sz w:val="22"/>
          <w:szCs w:val="22"/>
        </w:rPr>
        <w:t>App’x</w:t>
      </w:r>
      <w:proofErr w:type="spellEnd"/>
      <w:r w:rsidRPr="00EF05ED">
        <w:rPr>
          <w:sz w:val="22"/>
          <w:szCs w:val="22"/>
        </w:rPr>
        <w:t xml:space="preserve"> Vol. 2, Ch. 7, Pt. 2 and 3 (GPC assigns distributed generation and utility scale solar a price per kilowatt per year, an incremental capacity equivalence value, and detail</w:t>
      </w:r>
      <w:r>
        <w:rPr>
          <w:sz w:val="22"/>
          <w:szCs w:val="22"/>
        </w:rPr>
        <w:t>s</w:t>
      </w:r>
      <w:r w:rsidRPr="00EF05ED">
        <w:rPr>
          <w:sz w:val="22"/>
          <w:szCs w:val="22"/>
        </w:rPr>
        <w:t xml:space="preserve"> the capacity factor at system peak).  </w:t>
      </w:r>
    </w:p>
  </w:footnote>
  <w:footnote w:id="31">
    <w:p w14:paraId="1A39395E" w14:textId="77777777" w:rsidR="003C29AA" w:rsidRPr="00EF05ED" w:rsidRDefault="003C29AA" w:rsidP="00534867">
      <w:pPr>
        <w:pStyle w:val="FootnoteText"/>
        <w:spacing w:after="100"/>
        <w:jc w:val="both"/>
        <w:rPr>
          <w:sz w:val="22"/>
          <w:szCs w:val="22"/>
        </w:rPr>
      </w:pPr>
      <w:r w:rsidRPr="00EF05ED">
        <w:rPr>
          <w:rStyle w:val="FootnoteReference"/>
          <w:sz w:val="22"/>
          <w:szCs w:val="22"/>
        </w:rPr>
        <w:footnoteRef/>
      </w:r>
      <w:r w:rsidRPr="00EF05ED">
        <w:rPr>
          <w:sz w:val="22"/>
          <w:szCs w:val="22"/>
        </w:rPr>
        <w:t xml:space="preserve"> We note that in a system with extensive solar resources, the optimum time for nuclear refueling and maintenance might be in summer. ELCC is best determined by modeling reliability with and without the resource being evaluated and not based on historical practice that is poorly informed by current or future circumstances.</w:t>
      </w:r>
    </w:p>
  </w:footnote>
  <w:footnote w:id="32">
    <w:p w14:paraId="205A8BD0" w14:textId="77777777" w:rsidR="003C29AA" w:rsidRPr="00EF05ED" w:rsidRDefault="003C29AA" w:rsidP="00534867">
      <w:pPr>
        <w:pStyle w:val="FootnoteText"/>
        <w:spacing w:after="20"/>
        <w:jc w:val="both"/>
        <w:rPr>
          <w:sz w:val="22"/>
          <w:szCs w:val="22"/>
        </w:rPr>
      </w:pPr>
      <w:r w:rsidRPr="00EF05ED">
        <w:rPr>
          <w:rStyle w:val="FootnoteReference"/>
          <w:sz w:val="22"/>
          <w:szCs w:val="22"/>
        </w:rPr>
        <w:footnoteRef/>
      </w:r>
      <w:r w:rsidRPr="00EF05ED">
        <w:rPr>
          <w:sz w:val="22"/>
          <w:szCs w:val="22"/>
        </w:rPr>
        <w:t xml:space="preserve"> This distinction is necessary because forced outage rates of firm generation are weather dependent and therefore not time-independent.</w:t>
      </w:r>
    </w:p>
  </w:footnote>
  <w:footnote w:id="33">
    <w:p w14:paraId="4CB27B09"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EF05ED">
        <w:rPr>
          <w:sz w:val="22"/>
          <w:szCs w:val="22"/>
        </w:rPr>
        <w:t>Hr’g</w:t>
      </w:r>
      <w:proofErr w:type="spellEnd"/>
      <w:r w:rsidRPr="00EF05ED">
        <w:rPr>
          <w:sz w:val="22"/>
          <w:szCs w:val="22"/>
        </w:rPr>
        <w:t xml:space="preserve"> Tr. vol. 1, 138:21-22.</w:t>
      </w:r>
    </w:p>
  </w:footnote>
  <w:footnote w:id="34">
    <w:p w14:paraId="2CE16AD1" w14:textId="2D41030C" w:rsidR="00534867" w:rsidRPr="00534867" w:rsidRDefault="00534867">
      <w:pPr>
        <w:pStyle w:val="FootnoteText"/>
        <w:rPr>
          <w:sz w:val="22"/>
          <w:szCs w:val="22"/>
        </w:rPr>
      </w:pPr>
      <w:r w:rsidRPr="00534867">
        <w:rPr>
          <w:rStyle w:val="FootnoteReference"/>
          <w:sz w:val="22"/>
          <w:szCs w:val="22"/>
        </w:rPr>
        <w:footnoteRef/>
      </w:r>
      <w:r w:rsidRPr="00534867">
        <w:rPr>
          <w:sz w:val="22"/>
          <w:szCs w:val="22"/>
        </w:rPr>
        <w:t xml:space="preserve"> Grubb, Mallard &amp; Weathers Test. at 39:25.</w:t>
      </w:r>
    </w:p>
  </w:footnote>
  <w:footnote w:id="35">
    <w:p w14:paraId="7626E541" w14:textId="77777777" w:rsidR="003C29AA" w:rsidRPr="00EF05ED" w:rsidRDefault="003C29AA" w:rsidP="00534867">
      <w:pPr>
        <w:pStyle w:val="FootnoteText"/>
        <w:spacing w:after="100"/>
        <w:jc w:val="both"/>
        <w:rPr>
          <w:sz w:val="22"/>
          <w:szCs w:val="22"/>
        </w:rPr>
      </w:pPr>
      <w:r w:rsidRPr="00EF05ED">
        <w:rPr>
          <w:rStyle w:val="FootnoteReference"/>
          <w:sz w:val="22"/>
          <w:szCs w:val="22"/>
        </w:rPr>
        <w:footnoteRef/>
      </w:r>
      <w:r w:rsidRPr="00EF05ED">
        <w:rPr>
          <w:sz w:val="22"/>
          <w:szCs w:val="22"/>
        </w:rPr>
        <w:t xml:space="preserve"> Despite testifying that energy-only contract participants can choose long</w:t>
      </w:r>
      <w:r>
        <w:rPr>
          <w:sz w:val="22"/>
          <w:szCs w:val="22"/>
        </w:rPr>
        <w:t>-</w:t>
      </w:r>
      <w:r w:rsidRPr="00EF05ED">
        <w:rPr>
          <w:sz w:val="22"/>
          <w:szCs w:val="22"/>
        </w:rPr>
        <w:t>term contracts, Georgia Power proposes to include the 365-day notice provision and argues that the energy-only contract participants cannot be relied on long</w:t>
      </w:r>
      <w:r>
        <w:rPr>
          <w:sz w:val="22"/>
          <w:szCs w:val="22"/>
        </w:rPr>
        <w:t>-</w:t>
      </w:r>
      <w:r w:rsidRPr="00EF05ED">
        <w:rPr>
          <w:sz w:val="22"/>
          <w:szCs w:val="22"/>
        </w:rPr>
        <w:t xml:space="preserve">term because of that proposed addition. Thus, there is uncertainty to whether the contract is truly long-term. </w:t>
      </w:r>
    </w:p>
  </w:footnote>
  <w:footnote w:id="36">
    <w:p w14:paraId="4D35D869" w14:textId="77777777" w:rsidR="003C29AA" w:rsidRPr="00EF05ED" w:rsidRDefault="003C29AA" w:rsidP="00F50583">
      <w:pPr>
        <w:pStyle w:val="FootnoteText"/>
        <w:spacing w:after="20"/>
        <w:rPr>
          <w:sz w:val="22"/>
          <w:szCs w:val="22"/>
        </w:rPr>
      </w:pPr>
      <w:r w:rsidRPr="00EF05ED">
        <w:rPr>
          <w:rStyle w:val="FootnoteReference"/>
          <w:sz w:val="22"/>
          <w:szCs w:val="22"/>
        </w:rPr>
        <w:footnoteRef/>
      </w:r>
      <w:r w:rsidRPr="00EF05ED">
        <w:rPr>
          <w:sz w:val="22"/>
          <w:szCs w:val="22"/>
        </w:rPr>
        <w:t xml:space="preserve"> </w:t>
      </w:r>
      <w:proofErr w:type="spellStart"/>
      <w:r w:rsidRPr="00EF05ED">
        <w:rPr>
          <w:sz w:val="22"/>
          <w:szCs w:val="22"/>
        </w:rPr>
        <w:t>Hr’g</w:t>
      </w:r>
      <w:proofErr w:type="spellEnd"/>
      <w:r w:rsidRPr="00EF05ED">
        <w:rPr>
          <w:sz w:val="22"/>
          <w:szCs w:val="22"/>
        </w:rPr>
        <w:t xml:space="preserve"> Tr. vol. 1, 138:21-22. </w:t>
      </w:r>
    </w:p>
  </w:footnote>
  <w:footnote w:id="37">
    <w:p w14:paraId="25BC2045" w14:textId="77777777" w:rsidR="003C29AA" w:rsidRDefault="003C29AA">
      <w:pPr>
        <w:pStyle w:val="FootnoteText"/>
      </w:pPr>
      <w:r>
        <w:rPr>
          <w:rStyle w:val="FootnoteReference"/>
        </w:rPr>
        <w:footnoteRef/>
      </w:r>
      <w:r>
        <w:t xml:space="preserve"> Ga. Pub. Serv. Comm’n. Procedural and Scheduling Order, Docket Nos. </w:t>
      </w:r>
      <w:r w:rsidRPr="00FD0056">
        <w:rPr>
          <w:rFonts w:eastAsia="MS Mincho"/>
        </w:rPr>
        <w:t>4822, 16573, and 1927</w:t>
      </w:r>
      <w:r>
        <w:rPr>
          <w:rFonts w:eastAsia="MS Mincho"/>
        </w:rPr>
        <w:t xml:space="preserve">9 (Aug. 20, 2020) at 3.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9AA7AC" w14:textId="77777777" w:rsidR="003C29AA" w:rsidRPr="006C09FF" w:rsidRDefault="003C29AA" w:rsidP="006C09FF">
    <w:pPr>
      <w:pStyle w:val="Header"/>
      <w:jc w:val="right"/>
      <w:rPr>
        <w:b/>
        <w:smallCap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DC55DE"/>
    <w:multiLevelType w:val="hybridMultilevel"/>
    <w:tmpl w:val="D6CE4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9F3A73"/>
    <w:multiLevelType w:val="hybridMultilevel"/>
    <w:tmpl w:val="A4B8C4DE"/>
    <w:lvl w:ilvl="0" w:tplc="04C8A492">
      <w:start w:val="1"/>
      <w:numFmt w:val="decimal"/>
      <w:lvlText w:val="%1."/>
      <w:lvlJc w:val="left"/>
      <w:pPr>
        <w:ind w:left="720" w:hanging="360"/>
      </w:pPr>
    </w:lvl>
    <w:lvl w:ilvl="1" w:tplc="00CCE55C">
      <w:start w:val="1"/>
      <w:numFmt w:val="lowerLetter"/>
      <w:lvlText w:val="%2."/>
      <w:lvlJc w:val="left"/>
      <w:pPr>
        <w:ind w:left="1440" w:hanging="360"/>
      </w:pPr>
    </w:lvl>
    <w:lvl w:ilvl="2" w:tplc="A2644E9E">
      <w:start w:val="1"/>
      <w:numFmt w:val="lowerRoman"/>
      <w:lvlText w:val="%3."/>
      <w:lvlJc w:val="right"/>
      <w:pPr>
        <w:ind w:left="2160" w:hanging="180"/>
      </w:pPr>
    </w:lvl>
    <w:lvl w:ilvl="3" w:tplc="8056CA34">
      <w:start w:val="1"/>
      <w:numFmt w:val="decimal"/>
      <w:lvlText w:val="%4."/>
      <w:lvlJc w:val="left"/>
      <w:pPr>
        <w:ind w:left="2880" w:hanging="360"/>
      </w:pPr>
    </w:lvl>
    <w:lvl w:ilvl="4" w:tplc="EC3E94E4">
      <w:start w:val="1"/>
      <w:numFmt w:val="lowerLetter"/>
      <w:lvlText w:val="%5."/>
      <w:lvlJc w:val="left"/>
      <w:pPr>
        <w:ind w:left="3600" w:hanging="360"/>
      </w:pPr>
    </w:lvl>
    <w:lvl w:ilvl="5" w:tplc="6F12A70E" w:tentative="1">
      <w:start w:val="1"/>
      <w:numFmt w:val="lowerRoman"/>
      <w:lvlText w:val="%6."/>
      <w:lvlJc w:val="right"/>
      <w:pPr>
        <w:ind w:left="4320" w:hanging="180"/>
      </w:pPr>
    </w:lvl>
    <w:lvl w:ilvl="6" w:tplc="33CC7434" w:tentative="1">
      <w:start w:val="1"/>
      <w:numFmt w:val="decimal"/>
      <w:lvlText w:val="%7."/>
      <w:lvlJc w:val="left"/>
      <w:pPr>
        <w:ind w:left="5040" w:hanging="360"/>
      </w:pPr>
    </w:lvl>
    <w:lvl w:ilvl="7" w:tplc="880A8AD0" w:tentative="1">
      <w:start w:val="1"/>
      <w:numFmt w:val="lowerLetter"/>
      <w:lvlText w:val="%8."/>
      <w:lvlJc w:val="left"/>
      <w:pPr>
        <w:ind w:left="5760" w:hanging="360"/>
      </w:pPr>
    </w:lvl>
    <w:lvl w:ilvl="8" w:tplc="BC769992" w:tentative="1">
      <w:start w:val="1"/>
      <w:numFmt w:val="lowerRoman"/>
      <w:lvlText w:val="%9."/>
      <w:lvlJc w:val="right"/>
      <w:pPr>
        <w:ind w:left="6480" w:hanging="180"/>
      </w:pPr>
    </w:lvl>
  </w:abstractNum>
  <w:abstractNum w:abstractNumId="3" w15:restartNumberingAfterBreak="0">
    <w:nsid w:val="096218F8"/>
    <w:multiLevelType w:val="hybridMultilevel"/>
    <w:tmpl w:val="1F2401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992E18"/>
    <w:multiLevelType w:val="hybridMultilevel"/>
    <w:tmpl w:val="EFF4EC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D204021"/>
    <w:multiLevelType w:val="hybridMultilevel"/>
    <w:tmpl w:val="9A2275CA"/>
    <w:lvl w:ilvl="0" w:tplc="6EAC48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D4071C5"/>
    <w:multiLevelType w:val="hybridMultilevel"/>
    <w:tmpl w:val="CE0EA4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9A75F4"/>
    <w:multiLevelType w:val="hybridMultilevel"/>
    <w:tmpl w:val="56D0F3F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1C512C"/>
    <w:multiLevelType w:val="hybridMultilevel"/>
    <w:tmpl w:val="8B8C0FAA"/>
    <w:lvl w:ilvl="0" w:tplc="03D669A2">
      <w:start w:val="1"/>
      <w:numFmt w:val="decimal"/>
      <w:lvlText w:val="%1."/>
      <w:lvlJc w:val="left"/>
      <w:pPr>
        <w:ind w:left="360" w:hanging="360"/>
      </w:pPr>
      <w:rPr>
        <w:rFonts w:hint="default"/>
      </w:rPr>
    </w:lvl>
    <w:lvl w:ilvl="1" w:tplc="68EA4B36">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0914031"/>
    <w:multiLevelType w:val="hybridMultilevel"/>
    <w:tmpl w:val="8D12638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367E4D"/>
    <w:multiLevelType w:val="hybridMultilevel"/>
    <w:tmpl w:val="2CBEDD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3F00695"/>
    <w:multiLevelType w:val="hybridMultilevel"/>
    <w:tmpl w:val="C64A922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14E37A69"/>
    <w:multiLevelType w:val="hybridMultilevel"/>
    <w:tmpl w:val="93628262"/>
    <w:lvl w:ilvl="0" w:tplc="6074A73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5A512A8"/>
    <w:multiLevelType w:val="hybridMultilevel"/>
    <w:tmpl w:val="C896BD7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1A974C7B"/>
    <w:multiLevelType w:val="hybridMultilevel"/>
    <w:tmpl w:val="8FE823B2"/>
    <w:lvl w:ilvl="0" w:tplc="04090001">
      <w:start w:val="1"/>
      <w:numFmt w:val="bullet"/>
      <w:lvlText w:val=""/>
      <w:lvlJc w:val="left"/>
      <w:pPr>
        <w:ind w:left="1447" w:hanging="360"/>
      </w:pPr>
      <w:rPr>
        <w:rFonts w:ascii="Symbol" w:hAnsi="Symbol" w:hint="default"/>
      </w:rPr>
    </w:lvl>
    <w:lvl w:ilvl="1" w:tplc="04090003" w:tentative="1">
      <w:start w:val="1"/>
      <w:numFmt w:val="bullet"/>
      <w:lvlText w:val="o"/>
      <w:lvlJc w:val="left"/>
      <w:pPr>
        <w:ind w:left="2167" w:hanging="360"/>
      </w:pPr>
      <w:rPr>
        <w:rFonts w:ascii="Courier New" w:hAnsi="Courier New" w:cs="Courier New" w:hint="default"/>
      </w:rPr>
    </w:lvl>
    <w:lvl w:ilvl="2" w:tplc="04090005" w:tentative="1">
      <w:start w:val="1"/>
      <w:numFmt w:val="bullet"/>
      <w:lvlText w:val=""/>
      <w:lvlJc w:val="left"/>
      <w:pPr>
        <w:ind w:left="2887" w:hanging="360"/>
      </w:pPr>
      <w:rPr>
        <w:rFonts w:ascii="Wingdings" w:hAnsi="Wingdings" w:hint="default"/>
      </w:rPr>
    </w:lvl>
    <w:lvl w:ilvl="3" w:tplc="04090001" w:tentative="1">
      <w:start w:val="1"/>
      <w:numFmt w:val="bullet"/>
      <w:lvlText w:val=""/>
      <w:lvlJc w:val="left"/>
      <w:pPr>
        <w:ind w:left="3607" w:hanging="360"/>
      </w:pPr>
      <w:rPr>
        <w:rFonts w:ascii="Symbol" w:hAnsi="Symbol" w:hint="default"/>
      </w:rPr>
    </w:lvl>
    <w:lvl w:ilvl="4" w:tplc="04090003" w:tentative="1">
      <w:start w:val="1"/>
      <w:numFmt w:val="bullet"/>
      <w:lvlText w:val="o"/>
      <w:lvlJc w:val="left"/>
      <w:pPr>
        <w:ind w:left="4327" w:hanging="360"/>
      </w:pPr>
      <w:rPr>
        <w:rFonts w:ascii="Courier New" w:hAnsi="Courier New" w:cs="Courier New" w:hint="default"/>
      </w:rPr>
    </w:lvl>
    <w:lvl w:ilvl="5" w:tplc="04090005" w:tentative="1">
      <w:start w:val="1"/>
      <w:numFmt w:val="bullet"/>
      <w:lvlText w:val=""/>
      <w:lvlJc w:val="left"/>
      <w:pPr>
        <w:ind w:left="5047" w:hanging="360"/>
      </w:pPr>
      <w:rPr>
        <w:rFonts w:ascii="Wingdings" w:hAnsi="Wingdings" w:hint="default"/>
      </w:rPr>
    </w:lvl>
    <w:lvl w:ilvl="6" w:tplc="04090001" w:tentative="1">
      <w:start w:val="1"/>
      <w:numFmt w:val="bullet"/>
      <w:lvlText w:val=""/>
      <w:lvlJc w:val="left"/>
      <w:pPr>
        <w:ind w:left="5767" w:hanging="360"/>
      </w:pPr>
      <w:rPr>
        <w:rFonts w:ascii="Symbol" w:hAnsi="Symbol" w:hint="default"/>
      </w:rPr>
    </w:lvl>
    <w:lvl w:ilvl="7" w:tplc="04090003" w:tentative="1">
      <w:start w:val="1"/>
      <w:numFmt w:val="bullet"/>
      <w:lvlText w:val="o"/>
      <w:lvlJc w:val="left"/>
      <w:pPr>
        <w:ind w:left="6487" w:hanging="360"/>
      </w:pPr>
      <w:rPr>
        <w:rFonts w:ascii="Courier New" w:hAnsi="Courier New" w:cs="Courier New" w:hint="default"/>
      </w:rPr>
    </w:lvl>
    <w:lvl w:ilvl="8" w:tplc="04090005" w:tentative="1">
      <w:start w:val="1"/>
      <w:numFmt w:val="bullet"/>
      <w:lvlText w:val=""/>
      <w:lvlJc w:val="left"/>
      <w:pPr>
        <w:ind w:left="7207" w:hanging="360"/>
      </w:pPr>
      <w:rPr>
        <w:rFonts w:ascii="Wingdings" w:hAnsi="Wingdings" w:hint="default"/>
      </w:rPr>
    </w:lvl>
  </w:abstractNum>
  <w:abstractNum w:abstractNumId="15" w15:restartNumberingAfterBreak="0">
    <w:nsid w:val="1A9E5A34"/>
    <w:multiLevelType w:val="hybridMultilevel"/>
    <w:tmpl w:val="74CE8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651897"/>
    <w:multiLevelType w:val="hybridMultilevel"/>
    <w:tmpl w:val="9554310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980" w:hanging="36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25C4AB6"/>
    <w:multiLevelType w:val="hybridMultilevel"/>
    <w:tmpl w:val="314CABB8"/>
    <w:lvl w:ilvl="0" w:tplc="2A22A4F8">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A70593"/>
    <w:multiLevelType w:val="hybridMultilevel"/>
    <w:tmpl w:val="FAD674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4E402D7"/>
    <w:multiLevelType w:val="hybridMultilevel"/>
    <w:tmpl w:val="072681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7D544B"/>
    <w:multiLevelType w:val="multilevel"/>
    <w:tmpl w:val="CE0EA4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B5B73E8"/>
    <w:multiLevelType w:val="hybridMultilevel"/>
    <w:tmpl w:val="AAE23238"/>
    <w:lvl w:ilvl="0" w:tplc="2CEE1C9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E641E2"/>
    <w:multiLevelType w:val="hybridMultilevel"/>
    <w:tmpl w:val="648CEB26"/>
    <w:lvl w:ilvl="0" w:tplc="B35A2164">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05B48F0"/>
    <w:multiLevelType w:val="multilevel"/>
    <w:tmpl w:val="E34EC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11E7AB7"/>
    <w:multiLevelType w:val="hybridMultilevel"/>
    <w:tmpl w:val="4484D356"/>
    <w:lvl w:ilvl="0" w:tplc="7E969F26">
      <w:start w:val="1"/>
      <w:numFmt w:val="bullet"/>
      <w:lvlText w:val=""/>
      <w:lvlJc w:val="left"/>
      <w:pPr>
        <w:ind w:left="1440" w:hanging="360"/>
      </w:pPr>
      <w:rPr>
        <w:rFonts w:ascii="Symbol" w:hAnsi="Symbol" w:hint="default"/>
      </w:rPr>
    </w:lvl>
    <w:lvl w:ilvl="1" w:tplc="11229BCA">
      <w:start w:val="1"/>
      <w:numFmt w:val="bullet"/>
      <w:lvlText w:val="o"/>
      <w:lvlJc w:val="left"/>
      <w:pPr>
        <w:ind w:left="2160" w:hanging="360"/>
      </w:pPr>
      <w:rPr>
        <w:rFonts w:ascii="Courier New" w:hAnsi="Courier New" w:cs="Courier New" w:hint="default"/>
      </w:rPr>
    </w:lvl>
    <w:lvl w:ilvl="2" w:tplc="F9689A12" w:tentative="1">
      <w:start w:val="1"/>
      <w:numFmt w:val="bullet"/>
      <w:lvlText w:val=""/>
      <w:lvlJc w:val="left"/>
      <w:pPr>
        <w:ind w:left="2880" w:hanging="360"/>
      </w:pPr>
      <w:rPr>
        <w:rFonts w:ascii="Wingdings" w:hAnsi="Wingdings" w:hint="default"/>
      </w:rPr>
    </w:lvl>
    <w:lvl w:ilvl="3" w:tplc="46521296" w:tentative="1">
      <w:start w:val="1"/>
      <w:numFmt w:val="bullet"/>
      <w:lvlText w:val=""/>
      <w:lvlJc w:val="left"/>
      <w:pPr>
        <w:ind w:left="3600" w:hanging="360"/>
      </w:pPr>
      <w:rPr>
        <w:rFonts w:ascii="Symbol" w:hAnsi="Symbol" w:hint="default"/>
      </w:rPr>
    </w:lvl>
    <w:lvl w:ilvl="4" w:tplc="45A2C6AE" w:tentative="1">
      <w:start w:val="1"/>
      <w:numFmt w:val="bullet"/>
      <w:lvlText w:val="o"/>
      <w:lvlJc w:val="left"/>
      <w:pPr>
        <w:ind w:left="4320" w:hanging="360"/>
      </w:pPr>
      <w:rPr>
        <w:rFonts w:ascii="Courier New" w:hAnsi="Courier New" w:cs="Courier New" w:hint="default"/>
      </w:rPr>
    </w:lvl>
    <w:lvl w:ilvl="5" w:tplc="84701D0C" w:tentative="1">
      <w:start w:val="1"/>
      <w:numFmt w:val="bullet"/>
      <w:lvlText w:val=""/>
      <w:lvlJc w:val="left"/>
      <w:pPr>
        <w:ind w:left="5040" w:hanging="360"/>
      </w:pPr>
      <w:rPr>
        <w:rFonts w:ascii="Wingdings" w:hAnsi="Wingdings" w:hint="default"/>
      </w:rPr>
    </w:lvl>
    <w:lvl w:ilvl="6" w:tplc="CF76687A" w:tentative="1">
      <w:start w:val="1"/>
      <w:numFmt w:val="bullet"/>
      <w:lvlText w:val=""/>
      <w:lvlJc w:val="left"/>
      <w:pPr>
        <w:ind w:left="5760" w:hanging="360"/>
      </w:pPr>
      <w:rPr>
        <w:rFonts w:ascii="Symbol" w:hAnsi="Symbol" w:hint="default"/>
      </w:rPr>
    </w:lvl>
    <w:lvl w:ilvl="7" w:tplc="7F1484FA" w:tentative="1">
      <w:start w:val="1"/>
      <w:numFmt w:val="bullet"/>
      <w:lvlText w:val="o"/>
      <w:lvlJc w:val="left"/>
      <w:pPr>
        <w:ind w:left="6480" w:hanging="360"/>
      </w:pPr>
      <w:rPr>
        <w:rFonts w:ascii="Courier New" w:hAnsi="Courier New" w:cs="Courier New" w:hint="default"/>
      </w:rPr>
    </w:lvl>
    <w:lvl w:ilvl="8" w:tplc="0F7E9008" w:tentative="1">
      <w:start w:val="1"/>
      <w:numFmt w:val="bullet"/>
      <w:lvlText w:val=""/>
      <w:lvlJc w:val="left"/>
      <w:pPr>
        <w:ind w:left="7200" w:hanging="360"/>
      </w:pPr>
      <w:rPr>
        <w:rFonts w:ascii="Wingdings" w:hAnsi="Wingdings" w:hint="default"/>
      </w:rPr>
    </w:lvl>
  </w:abstractNum>
  <w:abstractNum w:abstractNumId="25" w15:restartNumberingAfterBreak="0">
    <w:nsid w:val="35EB31E4"/>
    <w:multiLevelType w:val="hybridMultilevel"/>
    <w:tmpl w:val="854E7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C01839"/>
    <w:multiLevelType w:val="hybridMultilevel"/>
    <w:tmpl w:val="019E4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FA577B"/>
    <w:multiLevelType w:val="hybridMultilevel"/>
    <w:tmpl w:val="0F105BDE"/>
    <w:lvl w:ilvl="0" w:tplc="0409000F">
      <w:start w:val="1"/>
      <w:numFmt w:val="decimal"/>
      <w:lvlText w:val="%1."/>
      <w:lvlJc w:val="left"/>
      <w:pPr>
        <w:ind w:left="432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28" w15:restartNumberingAfterBreak="0">
    <w:nsid w:val="38B069F4"/>
    <w:multiLevelType w:val="hybridMultilevel"/>
    <w:tmpl w:val="F5B49740"/>
    <w:lvl w:ilvl="0" w:tplc="00CCE55C">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C583DCA"/>
    <w:multiLevelType w:val="hybridMultilevel"/>
    <w:tmpl w:val="A1C8EBFE"/>
    <w:lvl w:ilvl="0" w:tplc="04C8A492">
      <w:start w:val="1"/>
      <w:numFmt w:val="decimal"/>
      <w:lvlText w:val="%1."/>
      <w:lvlJc w:val="left"/>
      <w:pPr>
        <w:ind w:left="720" w:hanging="360"/>
      </w:pPr>
    </w:lvl>
    <w:lvl w:ilvl="1" w:tplc="00CCE55C">
      <w:start w:val="1"/>
      <w:numFmt w:val="lowerLetter"/>
      <w:lvlText w:val="%2."/>
      <w:lvlJc w:val="left"/>
      <w:pPr>
        <w:ind w:left="1440" w:hanging="360"/>
      </w:pPr>
    </w:lvl>
    <w:lvl w:ilvl="2" w:tplc="A2644E9E">
      <w:start w:val="1"/>
      <w:numFmt w:val="lowerRoman"/>
      <w:lvlText w:val="%3."/>
      <w:lvlJc w:val="right"/>
      <w:pPr>
        <w:ind w:left="2160" w:hanging="180"/>
      </w:pPr>
    </w:lvl>
    <w:lvl w:ilvl="3" w:tplc="8056CA34">
      <w:start w:val="1"/>
      <w:numFmt w:val="decimal"/>
      <w:lvlText w:val="%4."/>
      <w:lvlJc w:val="left"/>
      <w:pPr>
        <w:ind w:left="2880" w:hanging="360"/>
      </w:pPr>
    </w:lvl>
    <w:lvl w:ilvl="4" w:tplc="EC3E94E4">
      <w:start w:val="1"/>
      <w:numFmt w:val="lowerLetter"/>
      <w:lvlText w:val="%5."/>
      <w:lvlJc w:val="left"/>
      <w:pPr>
        <w:ind w:left="3600" w:hanging="360"/>
      </w:pPr>
    </w:lvl>
    <w:lvl w:ilvl="5" w:tplc="6F12A70E" w:tentative="1">
      <w:start w:val="1"/>
      <w:numFmt w:val="lowerRoman"/>
      <w:lvlText w:val="%6."/>
      <w:lvlJc w:val="right"/>
      <w:pPr>
        <w:ind w:left="4320" w:hanging="180"/>
      </w:pPr>
    </w:lvl>
    <w:lvl w:ilvl="6" w:tplc="33CC7434" w:tentative="1">
      <w:start w:val="1"/>
      <w:numFmt w:val="decimal"/>
      <w:lvlText w:val="%7."/>
      <w:lvlJc w:val="left"/>
      <w:pPr>
        <w:ind w:left="5040" w:hanging="360"/>
      </w:pPr>
    </w:lvl>
    <w:lvl w:ilvl="7" w:tplc="880A8AD0" w:tentative="1">
      <w:start w:val="1"/>
      <w:numFmt w:val="lowerLetter"/>
      <w:lvlText w:val="%8."/>
      <w:lvlJc w:val="left"/>
      <w:pPr>
        <w:ind w:left="5760" w:hanging="360"/>
      </w:pPr>
    </w:lvl>
    <w:lvl w:ilvl="8" w:tplc="BC769992" w:tentative="1">
      <w:start w:val="1"/>
      <w:numFmt w:val="lowerRoman"/>
      <w:lvlText w:val="%9."/>
      <w:lvlJc w:val="right"/>
      <w:pPr>
        <w:ind w:left="6480" w:hanging="180"/>
      </w:pPr>
    </w:lvl>
  </w:abstractNum>
  <w:abstractNum w:abstractNumId="30" w15:restartNumberingAfterBreak="0">
    <w:nsid w:val="3DD60891"/>
    <w:multiLevelType w:val="hybridMultilevel"/>
    <w:tmpl w:val="B06EE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FE4EA5"/>
    <w:multiLevelType w:val="hybridMultilevel"/>
    <w:tmpl w:val="43E417AE"/>
    <w:lvl w:ilvl="0" w:tplc="51F47E6E">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FB4620"/>
    <w:multiLevelType w:val="hybridMultilevel"/>
    <w:tmpl w:val="089C8B8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1482B05"/>
    <w:multiLevelType w:val="hybridMultilevel"/>
    <w:tmpl w:val="41EEAF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419232AE"/>
    <w:multiLevelType w:val="hybridMultilevel"/>
    <w:tmpl w:val="D778C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E73377"/>
    <w:multiLevelType w:val="hybridMultilevel"/>
    <w:tmpl w:val="47DE90AE"/>
    <w:lvl w:ilvl="0" w:tplc="00CCE55C">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2E3934"/>
    <w:multiLevelType w:val="hybridMultilevel"/>
    <w:tmpl w:val="65587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E23574"/>
    <w:multiLevelType w:val="hybridMultilevel"/>
    <w:tmpl w:val="AB9C0F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E7642E5"/>
    <w:multiLevelType w:val="hybridMultilevel"/>
    <w:tmpl w:val="28A0DC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4EF13BB2"/>
    <w:multiLevelType w:val="hybridMultilevel"/>
    <w:tmpl w:val="A58C7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9D7E32"/>
    <w:multiLevelType w:val="hybridMultilevel"/>
    <w:tmpl w:val="3D646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A53CB3"/>
    <w:multiLevelType w:val="multilevel"/>
    <w:tmpl w:val="80EE8BA0"/>
    <w:styleLink w:val="VS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35C2D12"/>
    <w:multiLevelType w:val="hybridMultilevel"/>
    <w:tmpl w:val="E11689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D61A53"/>
    <w:multiLevelType w:val="hybridMultilevel"/>
    <w:tmpl w:val="3A66A546"/>
    <w:lvl w:ilvl="0" w:tplc="00CCE55C">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74068BF"/>
    <w:multiLevelType w:val="hybridMultilevel"/>
    <w:tmpl w:val="752A6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6D1153"/>
    <w:multiLevelType w:val="hybridMultilevel"/>
    <w:tmpl w:val="B0567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C567B6"/>
    <w:multiLevelType w:val="hybridMultilevel"/>
    <w:tmpl w:val="D95E86E0"/>
    <w:lvl w:ilvl="0" w:tplc="0409000F">
      <w:start w:val="1"/>
      <w:numFmt w:val="decimal"/>
      <w:lvlText w:val="%1."/>
      <w:lvlJc w:val="left"/>
      <w:pPr>
        <w:ind w:left="1500" w:hanging="360"/>
      </w:pPr>
      <w:rPr>
        <w:rFont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47" w15:restartNumberingAfterBreak="0">
    <w:nsid w:val="5ECC06F7"/>
    <w:multiLevelType w:val="hybridMultilevel"/>
    <w:tmpl w:val="67F22B44"/>
    <w:lvl w:ilvl="0" w:tplc="FC9EE658">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60AE489A"/>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9" w15:restartNumberingAfterBreak="0">
    <w:nsid w:val="63270DAD"/>
    <w:multiLevelType w:val="multilevel"/>
    <w:tmpl w:val="5E6A8AB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0" w15:restartNumberingAfterBreak="0">
    <w:nsid w:val="66504F85"/>
    <w:multiLevelType w:val="hybridMultilevel"/>
    <w:tmpl w:val="E34EC0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69D5A39"/>
    <w:multiLevelType w:val="hybridMultilevel"/>
    <w:tmpl w:val="D69C9E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69E7896"/>
    <w:multiLevelType w:val="hybridMultilevel"/>
    <w:tmpl w:val="6E0E79B0"/>
    <w:lvl w:ilvl="0" w:tplc="E084AD4C">
      <w:start w:val="1"/>
      <w:numFmt w:val="decimal"/>
      <w:lvlText w:val="%1."/>
      <w:lvlJc w:val="left"/>
      <w:pPr>
        <w:ind w:left="720" w:hanging="360"/>
      </w:pPr>
      <w:rPr>
        <w:b/>
      </w:rPr>
    </w:lvl>
    <w:lvl w:ilvl="1" w:tplc="EFC26ADE">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74C177F"/>
    <w:multiLevelType w:val="hybridMultilevel"/>
    <w:tmpl w:val="4C4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C5300A"/>
    <w:multiLevelType w:val="hybridMultilevel"/>
    <w:tmpl w:val="7D5CA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831744A"/>
    <w:multiLevelType w:val="hybridMultilevel"/>
    <w:tmpl w:val="34CA72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6DB625D9"/>
    <w:multiLevelType w:val="hybridMultilevel"/>
    <w:tmpl w:val="76447D80"/>
    <w:lvl w:ilvl="0" w:tplc="0409001B">
      <w:start w:val="1"/>
      <w:numFmt w:val="lowerRoman"/>
      <w:lvlText w:val="%1."/>
      <w:lvlJc w:val="right"/>
      <w:pPr>
        <w:ind w:left="1980" w:hanging="360"/>
      </w:pPr>
    </w:lvl>
    <w:lvl w:ilvl="1" w:tplc="0409000F">
      <w:start w:val="1"/>
      <w:numFmt w:val="decimal"/>
      <w:lvlText w:val="%2."/>
      <w:lvlJc w:val="left"/>
      <w:pPr>
        <w:ind w:left="252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57" w15:restartNumberingAfterBreak="0">
    <w:nsid w:val="6E2D0D93"/>
    <w:multiLevelType w:val="multilevel"/>
    <w:tmpl w:val="6712B520"/>
    <w:lvl w:ilvl="0">
      <w:start w:val="1"/>
      <w:numFmt w:val="upperRoman"/>
      <w:lvlText w:val="%1."/>
      <w:lvlJc w:val="left"/>
      <w:pPr>
        <w:tabs>
          <w:tab w:val="num" w:pos="720"/>
        </w:tabs>
        <w:ind w:left="0" w:firstLine="0"/>
      </w:pPr>
      <w:rPr>
        <w:b/>
        <w:i w:val="0"/>
        <w:caps/>
        <w:smallCaps w:val="0"/>
        <w:u w:val="none"/>
      </w:rPr>
    </w:lvl>
    <w:lvl w:ilvl="1">
      <w:start w:val="1"/>
      <w:numFmt w:val="upperLetter"/>
      <w:lvlText w:val="%2."/>
      <w:lvlJc w:val="left"/>
      <w:pPr>
        <w:tabs>
          <w:tab w:val="num" w:pos="1440"/>
        </w:tabs>
        <w:ind w:left="0" w:firstLine="720"/>
      </w:pPr>
      <w:rPr>
        <w:b w:val="0"/>
        <w:i w:val="0"/>
        <w:caps w:val="0"/>
        <w:smallCaps w:val="0"/>
        <w:u w:val="none"/>
      </w:rPr>
    </w:lvl>
    <w:lvl w:ilvl="2">
      <w:start w:val="1"/>
      <w:numFmt w:val="decimal"/>
      <w:lvlText w:val="%3."/>
      <w:lvlJc w:val="left"/>
      <w:pPr>
        <w:tabs>
          <w:tab w:val="num" w:pos="2160"/>
        </w:tabs>
        <w:ind w:left="0" w:firstLine="1440"/>
      </w:pPr>
      <w:rPr>
        <w:b w:val="0"/>
        <w:i w:val="0"/>
        <w:caps w:val="0"/>
        <w:smallCaps w:val="0"/>
        <w:u w:val="none"/>
      </w:rPr>
    </w:lvl>
    <w:lvl w:ilvl="3">
      <w:start w:val="1"/>
      <w:numFmt w:val="lowerLetter"/>
      <w:lvlText w:val="%4."/>
      <w:lvlJc w:val="left"/>
      <w:pPr>
        <w:tabs>
          <w:tab w:val="num" w:pos="2880"/>
        </w:tabs>
        <w:ind w:left="0" w:firstLine="2160"/>
      </w:pPr>
      <w:rPr>
        <w:b w:val="0"/>
        <w:i w:val="0"/>
        <w:caps w:val="0"/>
        <w:smallCaps w:val="0"/>
        <w:u w:val="none"/>
      </w:rPr>
    </w:lvl>
    <w:lvl w:ilvl="4">
      <w:start w:val="1"/>
      <w:numFmt w:val="lowerRoman"/>
      <w:lvlText w:val="(%5)"/>
      <w:lvlJc w:val="left"/>
      <w:pPr>
        <w:tabs>
          <w:tab w:val="num" w:pos="3600"/>
        </w:tabs>
        <w:ind w:left="0" w:firstLine="2880"/>
      </w:pPr>
      <w:rPr>
        <w:b w:val="0"/>
        <w:i w:val="0"/>
        <w:caps w:val="0"/>
        <w:smallCaps w:val="0"/>
        <w:u w:val="none"/>
      </w:rPr>
    </w:lvl>
    <w:lvl w:ilvl="5">
      <w:start w:val="1"/>
      <w:numFmt w:val="lowerLetter"/>
      <w:lvlText w:val="(%6)"/>
      <w:lvlJc w:val="left"/>
      <w:pPr>
        <w:tabs>
          <w:tab w:val="num" w:pos="4320"/>
        </w:tabs>
        <w:ind w:left="0" w:firstLine="3600"/>
      </w:pPr>
      <w:rPr>
        <w:b w:val="0"/>
        <w:i w:val="0"/>
        <w:caps w:val="0"/>
        <w:smallCaps w:val="0"/>
        <w:u w:val="none"/>
      </w:rPr>
    </w:lvl>
    <w:lvl w:ilvl="6">
      <w:start w:val="1"/>
      <w:numFmt w:val="decimal"/>
      <w:lvlText w:val="(%7)"/>
      <w:lvlJc w:val="left"/>
      <w:pPr>
        <w:tabs>
          <w:tab w:val="num" w:pos="5040"/>
        </w:tabs>
        <w:ind w:left="0" w:firstLine="4320"/>
      </w:pPr>
      <w:rPr>
        <w:b w:val="0"/>
        <w:i w:val="0"/>
        <w:caps w:val="0"/>
        <w:smallCaps w:val="0"/>
        <w:u w:val="none"/>
      </w:rPr>
    </w:lvl>
    <w:lvl w:ilvl="7">
      <w:start w:val="1"/>
      <w:numFmt w:val="lowerRoman"/>
      <w:lvlText w:val="%8)"/>
      <w:lvlJc w:val="left"/>
      <w:pPr>
        <w:tabs>
          <w:tab w:val="num" w:pos="5760"/>
        </w:tabs>
        <w:ind w:left="0" w:firstLine="5040"/>
      </w:pPr>
      <w:rPr>
        <w:b w:val="0"/>
        <w:i w:val="0"/>
        <w:caps w:val="0"/>
        <w:smallCaps w:val="0"/>
        <w:u w:val="none"/>
      </w:rPr>
    </w:lvl>
    <w:lvl w:ilvl="8">
      <w:start w:val="1"/>
      <w:numFmt w:val="lowerLetter"/>
      <w:lvlText w:val="%9)"/>
      <w:lvlJc w:val="left"/>
      <w:pPr>
        <w:tabs>
          <w:tab w:val="num" w:pos="6480"/>
        </w:tabs>
        <w:ind w:left="0" w:firstLine="5760"/>
      </w:pPr>
      <w:rPr>
        <w:b w:val="0"/>
        <w:i w:val="0"/>
        <w:caps w:val="0"/>
        <w:smallCaps w:val="0"/>
        <w:u w:val="none"/>
      </w:rPr>
    </w:lvl>
  </w:abstractNum>
  <w:abstractNum w:abstractNumId="58" w15:restartNumberingAfterBreak="0">
    <w:nsid w:val="6F931B05"/>
    <w:multiLevelType w:val="hybridMultilevel"/>
    <w:tmpl w:val="79BEF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70912C47"/>
    <w:multiLevelType w:val="hybridMultilevel"/>
    <w:tmpl w:val="AB8204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71B8698B"/>
    <w:multiLevelType w:val="hybridMultilevel"/>
    <w:tmpl w:val="7CA069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72270E31"/>
    <w:multiLevelType w:val="hybridMultilevel"/>
    <w:tmpl w:val="BCF6C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85C2A05"/>
    <w:multiLevelType w:val="hybridMultilevel"/>
    <w:tmpl w:val="841EFC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D696886"/>
    <w:multiLevelType w:val="hybridMultilevel"/>
    <w:tmpl w:val="415AAD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DE043F2"/>
    <w:multiLevelType w:val="hybridMultilevel"/>
    <w:tmpl w:val="B8EE057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49"/>
  </w:num>
  <w:num w:numId="2">
    <w:abstractNumId w:val="48"/>
  </w:num>
  <w:num w:numId="3">
    <w:abstractNumId w:val="41"/>
  </w:num>
  <w:num w:numId="4">
    <w:abstractNumId w:val="57"/>
  </w:num>
  <w:num w:numId="5">
    <w:abstractNumId w:val="24"/>
  </w:num>
  <w:num w:numId="6">
    <w:abstractNumId w:val="6"/>
  </w:num>
  <w:num w:numId="7">
    <w:abstractNumId w:val="20"/>
  </w:num>
  <w:num w:numId="8">
    <w:abstractNumId w:val="16"/>
  </w:num>
  <w:num w:numId="9">
    <w:abstractNumId w:val="0"/>
  </w:num>
  <w:num w:numId="10">
    <w:abstractNumId w:val="8"/>
  </w:num>
  <w:num w:numId="11">
    <w:abstractNumId w:val="56"/>
  </w:num>
  <w:num w:numId="12">
    <w:abstractNumId w:val="11"/>
  </w:num>
  <w:num w:numId="13">
    <w:abstractNumId w:val="58"/>
  </w:num>
  <w:num w:numId="14">
    <w:abstractNumId w:val="18"/>
  </w:num>
  <w:num w:numId="15">
    <w:abstractNumId w:val="54"/>
  </w:num>
  <w:num w:numId="16">
    <w:abstractNumId w:val="59"/>
  </w:num>
  <w:num w:numId="17">
    <w:abstractNumId w:val="37"/>
  </w:num>
  <w:num w:numId="18">
    <w:abstractNumId w:val="14"/>
  </w:num>
  <w:num w:numId="19">
    <w:abstractNumId w:val="55"/>
  </w:num>
  <w:num w:numId="20">
    <w:abstractNumId w:val="50"/>
  </w:num>
  <w:num w:numId="21">
    <w:abstractNumId w:val="23"/>
  </w:num>
  <w:num w:numId="22">
    <w:abstractNumId w:val="15"/>
  </w:num>
  <w:num w:numId="23">
    <w:abstractNumId w:val="36"/>
  </w:num>
  <w:num w:numId="24">
    <w:abstractNumId w:val="1"/>
  </w:num>
  <w:num w:numId="25">
    <w:abstractNumId w:val="60"/>
  </w:num>
  <w:num w:numId="26">
    <w:abstractNumId w:val="38"/>
  </w:num>
  <w:num w:numId="27">
    <w:abstractNumId w:val="19"/>
  </w:num>
  <w:num w:numId="28">
    <w:abstractNumId w:val="29"/>
  </w:num>
  <w:num w:numId="29">
    <w:abstractNumId w:val="43"/>
  </w:num>
  <w:num w:numId="30">
    <w:abstractNumId w:val="28"/>
  </w:num>
  <w:num w:numId="31">
    <w:abstractNumId w:val="35"/>
  </w:num>
  <w:num w:numId="32">
    <w:abstractNumId w:val="53"/>
  </w:num>
  <w:num w:numId="33">
    <w:abstractNumId w:val="45"/>
  </w:num>
  <w:num w:numId="34">
    <w:abstractNumId w:val="2"/>
  </w:num>
  <w:num w:numId="35">
    <w:abstractNumId w:val="10"/>
  </w:num>
  <w:num w:numId="36">
    <w:abstractNumId w:val="40"/>
  </w:num>
  <w:num w:numId="37">
    <w:abstractNumId w:val="42"/>
  </w:num>
  <w:num w:numId="38">
    <w:abstractNumId w:val="5"/>
  </w:num>
  <w:num w:numId="39">
    <w:abstractNumId w:val="61"/>
  </w:num>
  <w:num w:numId="40">
    <w:abstractNumId w:val="46"/>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num>
  <w:num w:numId="43">
    <w:abstractNumId w:val="47"/>
  </w:num>
  <w:num w:numId="44">
    <w:abstractNumId w:val="12"/>
  </w:num>
  <w:num w:numId="4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num>
  <w:num w:numId="47">
    <w:abstractNumId w:val="57"/>
  </w:num>
  <w:num w:numId="48">
    <w:abstractNumId w:val="57"/>
  </w:num>
  <w:num w:numId="49">
    <w:abstractNumId w:val="57"/>
  </w:num>
  <w:num w:numId="50">
    <w:abstractNumId w:val="57"/>
  </w:num>
  <w:num w:numId="51">
    <w:abstractNumId w:val="57"/>
  </w:num>
  <w:num w:numId="52">
    <w:abstractNumId w:val="57"/>
  </w:num>
  <w:num w:numId="53">
    <w:abstractNumId w:val="57"/>
  </w:num>
  <w:num w:numId="54">
    <w:abstractNumId w:val="57"/>
  </w:num>
  <w:num w:numId="55">
    <w:abstractNumId w:val="57"/>
  </w:num>
  <w:num w:numId="56">
    <w:abstractNumId w:val="63"/>
  </w:num>
  <w:num w:numId="57">
    <w:abstractNumId w:val="57"/>
  </w:num>
  <w:num w:numId="58">
    <w:abstractNumId w:val="4"/>
  </w:num>
  <w:num w:numId="59">
    <w:abstractNumId w:val="62"/>
  </w:num>
  <w:num w:numId="60">
    <w:abstractNumId w:val="51"/>
  </w:num>
  <w:num w:numId="61">
    <w:abstractNumId w:val="52"/>
  </w:num>
  <w:num w:numId="62">
    <w:abstractNumId w:val="64"/>
  </w:num>
  <w:num w:numId="63">
    <w:abstractNumId w:val="30"/>
  </w:num>
  <w:num w:numId="64">
    <w:abstractNumId w:val="13"/>
  </w:num>
  <w:num w:numId="65">
    <w:abstractNumId w:val="39"/>
  </w:num>
  <w:num w:numId="66">
    <w:abstractNumId w:val="57"/>
  </w:num>
  <w:num w:numId="67">
    <w:abstractNumId w:val="26"/>
  </w:num>
  <w:num w:numId="68">
    <w:abstractNumId w:val="27"/>
  </w:num>
  <w:num w:numId="69">
    <w:abstractNumId w:val="34"/>
  </w:num>
  <w:num w:numId="70">
    <w:abstractNumId w:val="25"/>
  </w:num>
  <w:num w:numId="71">
    <w:abstractNumId w:val="21"/>
  </w:num>
  <w:num w:numId="72">
    <w:abstractNumId w:val="31"/>
  </w:num>
  <w:num w:numId="73">
    <w:abstractNumId w:val="17"/>
  </w:num>
  <w:num w:numId="74">
    <w:abstractNumId w:val="22"/>
  </w:num>
  <w:num w:numId="75">
    <w:abstractNumId w:val="33"/>
  </w:num>
  <w:num w:numId="76">
    <w:abstractNumId w:val="44"/>
  </w:num>
  <w:num w:numId="77">
    <w:abstractNumId w:val="9"/>
  </w:num>
  <w:num w:numId="78">
    <w:abstractNumId w:val="7"/>
  </w:num>
  <w:num w:numId="79">
    <w:abstractNumId w:val="3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3D28"/>
    <w:rsid w:val="00003E70"/>
    <w:rsid w:val="0000406D"/>
    <w:rsid w:val="00004788"/>
    <w:rsid w:val="00006C51"/>
    <w:rsid w:val="00013C06"/>
    <w:rsid w:val="00014865"/>
    <w:rsid w:val="0002043E"/>
    <w:rsid w:val="000215AF"/>
    <w:rsid w:val="00021A69"/>
    <w:rsid w:val="00022A7D"/>
    <w:rsid w:val="00022DB8"/>
    <w:rsid w:val="000234FC"/>
    <w:rsid w:val="00026290"/>
    <w:rsid w:val="00027629"/>
    <w:rsid w:val="0003301F"/>
    <w:rsid w:val="00035784"/>
    <w:rsid w:val="00035999"/>
    <w:rsid w:val="00036390"/>
    <w:rsid w:val="00036E65"/>
    <w:rsid w:val="00037AB0"/>
    <w:rsid w:val="00037AD2"/>
    <w:rsid w:val="000411BC"/>
    <w:rsid w:val="00044844"/>
    <w:rsid w:val="00045646"/>
    <w:rsid w:val="000456EB"/>
    <w:rsid w:val="00045DBC"/>
    <w:rsid w:val="00045DF8"/>
    <w:rsid w:val="00045FF4"/>
    <w:rsid w:val="000464C2"/>
    <w:rsid w:val="000466CD"/>
    <w:rsid w:val="000467B9"/>
    <w:rsid w:val="0004684E"/>
    <w:rsid w:val="00053311"/>
    <w:rsid w:val="00053A47"/>
    <w:rsid w:val="000542CA"/>
    <w:rsid w:val="000554BD"/>
    <w:rsid w:val="0005629B"/>
    <w:rsid w:val="00057B0E"/>
    <w:rsid w:val="00061CCE"/>
    <w:rsid w:val="00062F2D"/>
    <w:rsid w:val="0006354C"/>
    <w:rsid w:val="000639FD"/>
    <w:rsid w:val="0006434C"/>
    <w:rsid w:val="00064CAD"/>
    <w:rsid w:val="000653B9"/>
    <w:rsid w:val="00065CD0"/>
    <w:rsid w:val="00070143"/>
    <w:rsid w:val="00070816"/>
    <w:rsid w:val="00073006"/>
    <w:rsid w:val="00077668"/>
    <w:rsid w:val="000807BA"/>
    <w:rsid w:val="00083552"/>
    <w:rsid w:val="0008430C"/>
    <w:rsid w:val="00084965"/>
    <w:rsid w:val="00084E15"/>
    <w:rsid w:val="0008544B"/>
    <w:rsid w:val="000908BD"/>
    <w:rsid w:val="00090A85"/>
    <w:rsid w:val="00091CAB"/>
    <w:rsid w:val="00091CEB"/>
    <w:rsid w:val="0009305E"/>
    <w:rsid w:val="0009407F"/>
    <w:rsid w:val="00094659"/>
    <w:rsid w:val="000947CA"/>
    <w:rsid w:val="00095554"/>
    <w:rsid w:val="0009672D"/>
    <w:rsid w:val="00097D1C"/>
    <w:rsid w:val="000A0069"/>
    <w:rsid w:val="000A0D81"/>
    <w:rsid w:val="000A124F"/>
    <w:rsid w:val="000A128F"/>
    <w:rsid w:val="000A2C64"/>
    <w:rsid w:val="000A2CC5"/>
    <w:rsid w:val="000A378F"/>
    <w:rsid w:val="000A3D22"/>
    <w:rsid w:val="000A43A3"/>
    <w:rsid w:val="000A4545"/>
    <w:rsid w:val="000A49C6"/>
    <w:rsid w:val="000A4C2B"/>
    <w:rsid w:val="000A5E2E"/>
    <w:rsid w:val="000A65CE"/>
    <w:rsid w:val="000A6E6F"/>
    <w:rsid w:val="000B609A"/>
    <w:rsid w:val="000B6F9D"/>
    <w:rsid w:val="000C05A6"/>
    <w:rsid w:val="000C0BD4"/>
    <w:rsid w:val="000C2B58"/>
    <w:rsid w:val="000C54A6"/>
    <w:rsid w:val="000C58A7"/>
    <w:rsid w:val="000C63F7"/>
    <w:rsid w:val="000C781E"/>
    <w:rsid w:val="000D0149"/>
    <w:rsid w:val="000D3B77"/>
    <w:rsid w:val="000D5904"/>
    <w:rsid w:val="000D6A5C"/>
    <w:rsid w:val="000D6DE8"/>
    <w:rsid w:val="000D6DFF"/>
    <w:rsid w:val="000D7078"/>
    <w:rsid w:val="000E02AA"/>
    <w:rsid w:val="000E075F"/>
    <w:rsid w:val="000E5161"/>
    <w:rsid w:val="000E56D0"/>
    <w:rsid w:val="000E5ADB"/>
    <w:rsid w:val="000E5C22"/>
    <w:rsid w:val="000E640D"/>
    <w:rsid w:val="000E682D"/>
    <w:rsid w:val="000E7254"/>
    <w:rsid w:val="000E7D9F"/>
    <w:rsid w:val="000F3587"/>
    <w:rsid w:val="000F41B6"/>
    <w:rsid w:val="000F4A90"/>
    <w:rsid w:val="00100471"/>
    <w:rsid w:val="00102029"/>
    <w:rsid w:val="00102CE9"/>
    <w:rsid w:val="00104C3D"/>
    <w:rsid w:val="00105D7E"/>
    <w:rsid w:val="001068CB"/>
    <w:rsid w:val="00111C32"/>
    <w:rsid w:val="00113BE3"/>
    <w:rsid w:val="00115C70"/>
    <w:rsid w:val="001168DD"/>
    <w:rsid w:val="00120935"/>
    <w:rsid w:val="0012170B"/>
    <w:rsid w:val="00121F4C"/>
    <w:rsid w:val="00122F1C"/>
    <w:rsid w:val="001247BD"/>
    <w:rsid w:val="00125118"/>
    <w:rsid w:val="00125CE8"/>
    <w:rsid w:val="00125D97"/>
    <w:rsid w:val="001266EA"/>
    <w:rsid w:val="00126AD1"/>
    <w:rsid w:val="0012751B"/>
    <w:rsid w:val="001307B6"/>
    <w:rsid w:val="00130C6F"/>
    <w:rsid w:val="00131BFC"/>
    <w:rsid w:val="0013235C"/>
    <w:rsid w:val="00137734"/>
    <w:rsid w:val="00141717"/>
    <w:rsid w:val="00147323"/>
    <w:rsid w:val="00150C9D"/>
    <w:rsid w:val="0015146A"/>
    <w:rsid w:val="00153B4C"/>
    <w:rsid w:val="001542DF"/>
    <w:rsid w:val="0015453A"/>
    <w:rsid w:val="001557D6"/>
    <w:rsid w:val="00157714"/>
    <w:rsid w:val="001579B2"/>
    <w:rsid w:val="00160B44"/>
    <w:rsid w:val="00160DD1"/>
    <w:rsid w:val="00162343"/>
    <w:rsid w:val="001629DF"/>
    <w:rsid w:val="00162BC2"/>
    <w:rsid w:val="00164AC2"/>
    <w:rsid w:val="0016539E"/>
    <w:rsid w:val="00165B15"/>
    <w:rsid w:val="00170755"/>
    <w:rsid w:val="001715B6"/>
    <w:rsid w:val="00171FC4"/>
    <w:rsid w:val="001732C1"/>
    <w:rsid w:val="00173D9E"/>
    <w:rsid w:val="00180B5E"/>
    <w:rsid w:val="001813CD"/>
    <w:rsid w:val="00182789"/>
    <w:rsid w:val="0018448A"/>
    <w:rsid w:val="00185379"/>
    <w:rsid w:val="00185C90"/>
    <w:rsid w:val="0018621B"/>
    <w:rsid w:val="00186CD2"/>
    <w:rsid w:val="00186FE6"/>
    <w:rsid w:val="00190094"/>
    <w:rsid w:val="00190E55"/>
    <w:rsid w:val="0019363F"/>
    <w:rsid w:val="00196F25"/>
    <w:rsid w:val="001A2424"/>
    <w:rsid w:val="001A3F64"/>
    <w:rsid w:val="001A3F77"/>
    <w:rsid w:val="001A41E1"/>
    <w:rsid w:val="001B0C38"/>
    <w:rsid w:val="001B0DDF"/>
    <w:rsid w:val="001B18E0"/>
    <w:rsid w:val="001B22FD"/>
    <w:rsid w:val="001B2545"/>
    <w:rsid w:val="001B2C66"/>
    <w:rsid w:val="001B5251"/>
    <w:rsid w:val="001B69F8"/>
    <w:rsid w:val="001C02AA"/>
    <w:rsid w:val="001C033F"/>
    <w:rsid w:val="001C1591"/>
    <w:rsid w:val="001C1945"/>
    <w:rsid w:val="001C3B74"/>
    <w:rsid w:val="001C5FBF"/>
    <w:rsid w:val="001C6126"/>
    <w:rsid w:val="001D045C"/>
    <w:rsid w:val="001D1712"/>
    <w:rsid w:val="001D1E55"/>
    <w:rsid w:val="001D353A"/>
    <w:rsid w:val="001D519D"/>
    <w:rsid w:val="001D61C6"/>
    <w:rsid w:val="001D6A9F"/>
    <w:rsid w:val="001D6D1E"/>
    <w:rsid w:val="001D7D69"/>
    <w:rsid w:val="001E00AD"/>
    <w:rsid w:val="001E0A05"/>
    <w:rsid w:val="001E1AF7"/>
    <w:rsid w:val="001E3B87"/>
    <w:rsid w:val="001E6A11"/>
    <w:rsid w:val="001E7B78"/>
    <w:rsid w:val="001F0BC6"/>
    <w:rsid w:val="001F0DCA"/>
    <w:rsid w:val="001F1338"/>
    <w:rsid w:val="001F16D4"/>
    <w:rsid w:val="001F2723"/>
    <w:rsid w:val="001F329E"/>
    <w:rsid w:val="001F391F"/>
    <w:rsid w:val="001F4FDC"/>
    <w:rsid w:val="0020073A"/>
    <w:rsid w:val="00200E21"/>
    <w:rsid w:val="0020119C"/>
    <w:rsid w:val="002028A3"/>
    <w:rsid w:val="002052C8"/>
    <w:rsid w:val="0020537B"/>
    <w:rsid w:val="002055AD"/>
    <w:rsid w:val="0020626C"/>
    <w:rsid w:val="00207AB4"/>
    <w:rsid w:val="00210138"/>
    <w:rsid w:val="00210329"/>
    <w:rsid w:val="00211B54"/>
    <w:rsid w:val="00213976"/>
    <w:rsid w:val="0021591C"/>
    <w:rsid w:val="00216859"/>
    <w:rsid w:val="0021782F"/>
    <w:rsid w:val="002202DF"/>
    <w:rsid w:val="002207E8"/>
    <w:rsid w:val="00220F5A"/>
    <w:rsid w:val="00222B2A"/>
    <w:rsid w:val="0022390A"/>
    <w:rsid w:val="00223C60"/>
    <w:rsid w:val="00225457"/>
    <w:rsid w:val="00225EE7"/>
    <w:rsid w:val="00226669"/>
    <w:rsid w:val="00227127"/>
    <w:rsid w:val="0023122A"/>
    <w:rsid w:val="00232983"/>
    <w:rsid w:val="002332BE"/>
    <w:rsid w:val="0023578B"/>
    <w:rsid w:val="00236213"/>
    <w:rsid w:val="002366D1"/>
    <w:rsid w:val="002368C1"/>
    <w:rsid w:val="00240866"/>
    <w:rsid w:val="00241E1E"/>
    <w:rsid w:val="002423B9"/>
    <w:rsid w:val="00243119"/>
    <w:rsid w:val="0024347F"/>
    <w:rsid w:val="00244733"/>
    <w:rsid w:val="0024554D"/>
    <w:rsid w:val="00250E4E"/>
    <w:rsid w:val="0025211D"/>
    <w:rsid w:val="00252F53"/>
    <w:rsid w:val="0025330D"/>
    <w:rsid w:val="002537BA"/>
    <w:rsid w:val="002562EE"/>
    <w:rsid w:val="0025642A"/>
    <w:rsid w:val="0025735E"/>
    <w:rsid w:val="00257561"/>
    <w:rsid w:val="0026222F"/>
    <w:rsid w:val="00262283"/>
    <w:rsid w:val="00262426"/>
    <w:rsid w:val="00262A11"/>
    <w:rsid w:val="00263C26"/>
    <w:rsid w:val="0026470A"/>
    <w:rsid w:val="00264DB1"/>
    <w:rsid w:val="00265A54"/>
    <w:rsid w:val="002670E9"/>
    <w:rsid w:val="002706B9"/>
    <w:rsid w:val="00270E1C"/>
    <w:rsid w:val="00272760"/>
    <w:rsid w:val="00273D1B"/>
    <w:rsid w:val="0027786F"/>
    <w:rsid w:val="00277904"/>
    <w:rsid w:val="002819F5"/>
    <w:rsid w:val="00281EF8"/>
    <w:rsid w:val="00283D3E"/>
    <w:rsid w:val="00284C05"/>
    <w:rsid w:val="00284E64"/>
    <w:rsid w:val="0028573A"/>
    <w:rsid w:val="002858D6"/>
    <w:rsid w:val="00286073"/>
    <w:rsid w:val="00287CCE"/>
    <w:rsid w:val="00290866"/>
    <w:rsid w:val="00291E32"/>
    <w:rsid w:val="002960FB"/>
    <w:rsid w:val="0029640A"/>
    <w:rsid w:val="00296CE2"/>
    <w:rsid w:val="002978A6"/>
    <w:rsid w:val="00297A42"/>
    <w:rsid w:val="002A20F8"/>
    <w:rsid w:val="002A34DE"/>
    <w:rsid w:val="002A4E3B"/>
    <w:rsid w:val="002A7460"/>
    <w:rsid w:val="002B0327"/>
    <w:rsid w:val="002B0B61"/>
    <w:rsid w:val="002B0EFD"/>
    <w:rsid w:val="002B27CC"/>
    <w:rsid w:val="002B3106"/>
    <w:rsid w:val="002B33CE"/>
    <w:rsid w:val="002B498E"/>
    <w:rsid w:val="002B5652"/>
    <w:rsid w:val="002B6405"/>
    <w:rsid w:val="002B7E83"/>
    <w:rsid w:val="002C03EB"/>
    <w:rsid w:val="002C2071"/>
    <w:rsid w:val="002C20F9"/>
    <w:rsid w:val="002C27F1"/>
    <w:rsid w:val="002C3356"/>
    <w:rsid w:val="002C3B66"/>
    <w:rsid w:val="002C63CF"/>
    <w:rsid w:val="002C729B"/>
    <w:rsid w:val="002D0820"/>
    <w:rsid w:val="002D2475"/>
    <w:rsid w:val="002D2A1D"/>
    <w:rsid w:val="002D37D2"/>
    <w:rsid w:val="002D5514"/>
    <w:rsid w:val="002D5817"/>
    <w:rsid w:val="002D5DA5"/>
    <w:rsid w:val="002D60D2"/>
    <w:rsid w:val="002D6D49"/>
    <w:rsid w:val="002E0C31"/>
    <w:rsid w:val="002E10AE"/>
    <w:rsid w:val="002E2668"/>
    <w:rsid w:val="002E33AD"/>
    <w:rsid w:val="002E3EBB"/>
    <w:rsid w:val="002E4E86"/>
    <w:rsid w:val="002E540F"/>
    <w:rsid w:val="002E65C6"/>
    <w:rsid w:val="002E683C"/>
    <w:rsid w:val="002F0BA2"/>
    <w:rsid w:val="002F12B7"/>
    <w:rsid w:val="002F5885"/>
    <w:rsid w:val="002F5980"/>
    <w:rsid w:val="002F5B97"/>
    <w:rsid w:val="0030043E"/>
    <w:rsid w:val="003008AB"/>
    <w:rsid w:val="00300C6C"/>
    <w:rsid w:val="0030298B"/>
    <w:rsid w:val="00303762"/>
    <w:rsid w:val="00303C7D"/>
    <w:rsid w:val="003040F1"/>
    <w:rsid w:val="003049FE"/>
    <w:rsid w:val="0030513E"/>
    <w:rsid w:val="003055EA"/>
    <w:rsid w:val="003063BF"/>
    <w:rsid w:val="00310631"/>
    <w:rsid w:val="00310B09"/>
    <w:rsid w:val="00310B2B"/>
    <w:rsid w:val="00313E22"/>
    <w:rsid w:val="00314DD4"/>
    <w:rsid w:val="0031512E"/>
    <w:rsid w:val="00315617"/>
    <w:rsid w:val="003169E2"/>
    <w:rsid w:val="00316D6F"/>
    <w:rsid w:val="00316DA9"/>
    <w:rsid w:val="00316F13"/>
    <w:rsid w:val="003176FC"/>
    <w:rsid w:val="003176FF"/>
    <w:rsid w:val="00320104"/>
    <w:rsid w:val="00322AC9"/>
    <w:rsid w:val="00322FE4"/>
    <w:rsid w:val="00323B4E"/>
    <w:rsid w:val="00327245"/>
    <w:rsid w:val="0033610E"/>
    <w:rsid w:val="0033694E"/>
    <w:rsid w:val="00336B6A"/>
    <w:rsid w:val="003373EB"/>
    <w:rsid w:val="00337C99"/>
    <w:rsid w:val="00337CB6"/>
    <w:rsid w:val="00337D71"/>
    <w:rsid w:val="003404CA"/>
    <w:rsid w:val="00340915"/>
    <w:rsid w:val="00341341"/>
    <w:rsid w:val="00345791"/>
    <w:rsid w:val="00345F2A"/>
    <w:rsid w:val="003476A2"/>
    <w:rsid w:val="00347E07"/>
    <w:rsid w:val="00347EAF"/>
    <w:rsid w:val="003504B8"/>
    <w:rsid w:val="00352197"/>
    <w:rsid w:val="00352B69"/>
    <w:rsid w:val="00353CD8"/>
    <w:rsid w:val="00357887"/>
    <w:rsid w:val="00360643"/>
    <w:rsid w:val="00362811"/>
    <w:rsid w:val="00362B53"/>
    <w:rsid w:val="00362D62"/>
    <w:rsid w:val="0036429B"/>
    <w:rsid w:val="00366C14"/>
    <w:rsid w:val="00371510"/>
    <w:rsid w:val="00371A5C"/>
    <w:rsid w:val="00371E3F"/>
    <w:rsid w:val="00372420"/>
    <w:rsid w:val="0037336D"/>
    <w:rsid w:val="00375228"/>
    <w:rsid w:val="00377334"/>
    <w:rsid w:val="00380B6D"/>
    <w:rsid w:val="00380ECA"/>
    <w:rsid w:val="00380F51"/>
    <w:rsid w:val="003824E7"/>
    <w:rsid w:val="00382F00"/>
    <w:rsid w:val="00384BFE"/>
    <w:rsid w:val="003869F3"/>
    <w:rsid w:val="00387E44"/>
    <w:rsid w:val="00390CDC"/>
    <w:rsid w:val="00390CEF"/>
    <w:rsid w:val="00390E54"/>
    <w:rsid w:val="0039143F"/>
    <w:rsid w:val="003914F7"/>
    <w:rsid w:val="003917C8"/>
    <w:rsid w:val="00392A49"/>
    <w:rsid w:val="003931E5"/>
    <w:rsid w:val="003934BA"/>
    <w:rsid w:val="00393C01"/>
    <w:rsid w:val="00394494"/>
    <w:rsid w:val="0039459B"/>
    <w:rsid w:val="003964C2"/>
    <w:rsid w:val="0039681B"/>
    <w:rsid w:val="0039738E"/>
    <w:rsid w:val="003A05E5"/>
    <w:rsid w:val="003A1209"/>
    <w:rsid w:val="003A1B12"/>
    <w:rsid w:val="003A25B7"/>
    <w:rsid w:val="003A29F5"/>
    <w:rsid w:val="003A2ED6"/>
    <w:rsid w:val="003A4353"/>
    <w:rsid w:val="003A4DF2"/>
    <w:rsid w:val="003A651F"/>
    <w:rsid w:val="003A703A"/>
    <w:rsid w:val="003B092D"/>
    <w:rsid w:val="003B1B67"/>
    <w:rsid w:val="003B2521"/>
    <w:rsid w:val="003B270C"/>
    <w:rsid w:val="003B2A73"/>
    <w:rsid w:val="003B2BEF"/>
    <w:rsid w:val="003B2E3F"/>
    <w:rsid w:val="003B3014"/>
    <w:rsid w:val="003B3CFA"/>
    <w:rsid w:val="003B406A"/>
    <w:rsid w:val="003B490C"/>
    <w:rsid w:val="003B5F2B"/>
    <w:rsid w:val="003B6473"/>
    <w:rsid w:val="003B7709"/>
    <w:rsid w:val="003C167D"/>
    <w:rsid w:val="003C1AA3"/>
    <w:rsid w:val="003C23F5"/>
    <w:rsid w:val="003C29AA"/>
    <w:rsid w:val="003C2F3B"/>
    <w:rsid w:val="003C40A7"/>
    <w:rsid w:val="003C6448"/>
    <w:rsid w:val="003C7AE4"/>
    <w:rsid w:val="003D1E99"/>
    <w:rsid w:val="003D2DF9"/>
    <w:rsid w:val="003D2E37"/>
    <w:rsid w:val="003D32E9"/>
    <w:rsid w:val="003D38D4"/>
    <w:rsid w:val="003D74BD"/>
    <w:rsid w:val="003E0B1F"/>
    <w:rsid w:val="003E10FA"/>
    <w:rsid w:val="003E2211"/>
    <w:rsid w:val="003E4C51"/>
    <w:rsid w:val="003E5363"/>
    <w:rsid w:val="003E581E"/>
    <w:rsid w:val="003E677A"/>
    <w:rsid w:val="003E6F38"/>
    <w:rsid w:val="003F027F"/>
    <w:rsid w:val="003F1757"/>
    <w:rsid w:val="003F1BF5"/>
    <w:rsid w:val="003F34D2"/>
    <w:rsid w:val="003F36BA"/>
    <w:rsid w:val="003F63E1"/>
    <w:rsid w:val="003F652D"/>
    <w:rsid w:val="003F6815"/>
    <w:rsid w:val="003F6DA2"/>
    <w:rsid w:val="00400682"/>
    <w:rsid w:val="004006F3"/>
    <w:rsid w:val="00400E08"/>
    <w:rsid w:val="004022EF"/>
    <w:rsid w:val="0040236D"/>
    <w:rsid w:val="004028D8"/>
    <w:rsid w:val="00405B0A"/>
    <w:rsid w:val="00407478"/>
    <w:rsid w:val="00407AA6"/>
    <w:rsid w:val="004104B4"/>
    <w:rsid w:val="0041071D"/>
    <w:rsid w:val="00411585"/>
    <w:rsid w:val="00411AAB"/>
    <w:rsid w:val="00413C2C"/>
    <w:rsid w:val="00414890"/>
    <w:rsid w:val="00414B6C"/>
    <w:rsid w:val="00415A98"/>
    <w:rsid w:val="004175C8"/>
    <w:rsid w:val="004209BE"/>
    <w:rsid w:val="00420BE1"/>
    <w:rsid w:val="004223AA"/>
    <w:rsid w:val="00423EB1"/>
    <w:rsid w:val="004268BE"/>
    <w:rsid w:val="004276CD"/>
    <w:rsid w:val="00427FB7"/>
    <w:rsid w:val="004302EB"/>
    <w:rsid w:val="00430C63"/>
    <w:rsid w:val="00430F72"/>
    <w:rsid w:val="0043253E"/>
    <w:rsid w:val="004328A5"/>
    <w:rsid w:val="004333CA"/>
    <w:rsid w:val="00433CDE"/>
    <w:rsid w:val="00434535"/>
    <w:rsid w:val="004345A1"/>
    <w:rsid w:val="004366DE"/>
    <w:rsid w:val="00440E38"/>
    <w:rsid w:val="004434A9"/>
    <w:rsid w:val="00445C1C"/>
    <w:rsid w:val="00447D66"/>
    <w:rsid w:val="0045070F"/>
    <w:rsid w:val="00451EF6"/>
    <w:rsid w:val="00452837"/>
    <w:rsid w:val="00452B89"/>
    <w:rsid w:val="004530F9"/>
    <w:rsid w:val="0045386D"/>
    <w:rsid w:val="00453B25"/>
    <w:rsid w:val="00453B37"/>
    <w:rsid w:val="00455E3E"/>
    <w:rsid w:val="00461503"/>
    <w:rsid w:val="00461A45"/>
    <w:rsid w:val="0046204F"/>
    <w:rsid w:val="0046297E"/>
    <w:rsid w:val="00462BA9"/>
    <w:rsid w:val="00463314"/>
    <w:rsid w:val="00463BF6"/>
    <w:rsid w:val="0046408B"/>
    <w:rsid w:val="00465321"/>
    <w:rsid w:val="004706DE"/>
    <w:rsid w:val="00470A45"/>
    <w:rsid w:val="00471C5F"/>
    <w:rsid w:val="00472318"/>
    <w:rsid w:val="00472C3A"/>
    <w:rsid w:val="00472D43"/>
    <w:rsid w:val="0047490D"/>
    <w:rsid w:val="00480991"/>
    <w:rsid w:val="0048113B"/>
    <w:rsid w:val="00481228"/>
    <w:rsid w:val="0048289A"/>
    <w:rsid w:val="00482B6B"/>
    <w:rsid w:val="00482D55"/>
    <w:rsid w:val="00483152"/>
    <w:rsid w:val="00483923"/>
    <w:rsid w:val="004842EA"/>
    <w:rsid w:val="00484893"/>
    <w:rsid w:val="00485958"/>
    <w:rsid w:val="00486DB6"/>
    <w:rsid w:val="00490B73"/>
    <w:rsid w:val="004929E7"/>
    <w:rsid w:val="00494470"/>
    <w:rsid w:val="004960B1"/>
    <w:rsid w:val="004977A7"/>
    <w:rsid w:val="004A056C"/>
    <w:rsid w:val="004A1CA6"/>
    <w:rsid w:val="004A1F90"/>
    <w:rsid w:val="004A2EB7"/>
    <w:rsid w:val="004A5A91"/>
    <w:rsid w:val="004A6288"/>
    <w:rsid w:val="004A6C57"/>
    <w:rsid w:val="004A7686"/>
    <w:rsid w:val="004A77E3"/>
    <w:rsid w:val="004B0B89"/>
    <w:rsid w:val="004B1B53"/>
    <w:rsid w:val="004B205C"/>
    <w:rsid w:val="004B2598"/>
    <w:rsid w:val="004B5AEF"/>
    <w:rsid w:val="004B6E08"/>
    <w:rsid w:val="004C0DF8"/>
    <w:rsid w:val="004C1152"/>
    <w:rsid w:val="004C2EC9"/>
    <w:rsid w:val="004C2ED5"/>
    <w:rsid w:val="004C3B08"/>
    <w:rsid w:val="004C4400"/>
    <w:rsid w:val="004C4B91"/>
    <w:rsid w:val="004C71A9"/>
    <w:rsid w:val="004C7A9D"/>
    <w:rsid w:val="004D07A1"/>
    <w:rsid w:val="004D0FB3"/>
    <w:rsid w:val="004D5F79"/>
    <w:rsid w:val="004D74B9"/>
    <w:rsid w:val="004E12E8"/>
    <w:rsid w:val="004E191A"/>
    <w:rsid w:val="004E2E80"/>
    <w:rsid w:val="004E3A09"/>
    <w:rsid w:val="004E4066"/>
    <w:rsid w:val="004E4B81"/>
    <w:rsid w:val="004E6F8C"/>
    <w:rsid w:val="004E7696"/>
    <w:rsid w:val="004F0692"/>
    <w:rsid w:val="004F1890"/>
    <w:rsid w:val="004F3CB6"/>
    <w:rsid w:val="004F527B"/>
    <w:rsid w:val="004F557A"/>
    <w:rsid w:val="004F7316"/>
    <w:rsid w:val="004F7793"/>
    <w:rsid w:val="004F7CA9"/>
    <w:rsid w:val="00500329"/>
    <w:rsid w:val="00501A6A"/>
    <w:rsid w:val="00501B35"/>
    <w:rsid w:val="00501E02"/>
    <w:rsid w:val="00504524"/>
    <w:rsid w:val="0050543E"/>
    <w:rsid w:val="005057E4"/>
    <w:rsid w:val="005072F9"/>
    <w:rsid w:val="00507693"/>
    <w:rsid w:val="00507998"/>
    <w:rsid w:val="00507C82"/>
    <w:rsid w:val="005132D4"/>
    <w:rsid w:val="00513C00"/>
    <w:rsid w:val="00513F51"/>
    <w:rsid w:val="00514D41"/>
    <w:rsid w:val="00515ED5"/>
    <w:rsid w:val="005173B4"/>
    <w:rsid w:val="00520C8B"/>
    <w:rsid w:val="0052259A"/>
    <w:rsid w:val="005232D3"/>
    <w:rsid w:val="00524390"/>
    <w:rsid w:val="00525540"/>
    <w:rsid w:val="00525CDD"/>
    <w:rsid w:val="005261DE"/>
    <w:rsid w:val="00526A77"/>
    <w:rsid w:val="0053341D"/>
    <w:rsid w:val="00534867"/>
    <w:rsid w:val="00534C83"/>
    <w:rsid w:val="00535018"/>
    <w:rsid w:val="00536F11"/>
    <w:rsid w:val="005401F1"/>
    <w:rsid w:val="0054082E"/>
    <w:rsid w:val="00543323"/>
    <w:rsid w:val="00543E0D"/>
    <w:rsid w:val="00543F4E"/>
    <w:rsid w:val="0054645A"/>
    <w:rsid w:val="00550893"/>
    <w:rsid w:val="00554E63"/>
    <w:rsid w:val="00555799"/>
    <w:rsid w:val="0055579A"/>
    <w:rsid w:val="00556B8F"/>
    <w:rsid w:val="00557EEA"/>
    <w:rsid w:val="0056164D"/>
    <w:rsid w:val="00562BE9"/>
    <w:rsid w:val="00563296"/>
    <w:rsid w:val="005634C1"/>
    <w:rsid w:val="005647EF"/>
    <w:rsid w:val="00566340"/>
    <w:rsid w:val="00572A5C"/>
    <w:rsid w:val="00572C1A"/>
    <w:rsid w:val="00573F5F"/>
    <w:rsid w:val="00576183"/>
    <w:rsid w:val="00582262"/>
    <w:rsid w:val="0058248C"/>
    <w:rsid w:val="00583B82"/>
    <w:rsid w:val="00583F66"/>
    <w:rsid w:val="0058404A"/>
    <w:rsid w:val="00584355"/>
    <w:rsid w:val="005849A0"/>
    <w:rsid w:val="0058508A"/>
    <w:rsid w:val="00586D9A"/>
    <w:rsid w:val="00586E62"/>
    <w:rsid w:val="00587058"/>
    <w:rsid w:val="005903C8"/>
    <w:rsid w:val="00592E26"/>
    <w:rsid w:val="00596BFA"/>
    <w:rsid w:val="005A06C0"/>
    <w:rsid w:val="005A0AA8"/>
    <w:rsid w:val="005A0C9E"/>
    <w:rsid w:val="005A12E7"/>
    <w:rsid w:val="005A173E"/>
    <w:rsid w:val="005A2F78"/>
    <w:rsid w:val="005A4425"/>
    <w:rsid w:val="005A6124"/>
    <w:rsid w:val="005A6430"/>
    <w:rsid w:val="005A7763"/>
    <w:rsid w:val="005B1A14"/>
    <w:rsid w:val="005B20BA"/>
    <w:rsid w:val="005B5035"/>
    <w:rsid w:val="005B5716"/>
    <w:rsid w:val="005C054E"/>
    <w:rsid w:val="005C26FE"/>
    <w:rsid w:val="005C305A"/>
    <w:rsid w:val="005C39F9"/>
    <w:rsid w:val="005C3B43"/>
    <w:rsid w:val="005C4780"/>
    <w:rsid w:val="005C5E97"/>
    <w:rsid w:val="005C6045"/>
    <w:rsid w:val="005C67E0"/>
    <w:rsid w:val="005D0285"/>
    <w:rsid w:val="005D1326"/>
    <w:rsid w:val="005D1F64"/>
    <w:rsid w:val="005D34F0"/>
    <w:rsid w:val="005D3E1E"/>
    <w:rsid w:val="005D4157"/>
    <w:rsid w:val="005D4A0C"/>
    <w:rsid w:val="005D5BDB"/>
    <w:rsid w:val="005D6146"/>
    <w:rsid w:val="005D6950"/>
    <w:rsid w:val="005E0044"/>
    <w:rsid w:val="005E03DA"/>
    <w:rsid w:val="005E0E37"/>
    <w:rsid w:val="005E2503"/>
    <w:rsid w:val="005E6BBF"/>
    <w:rsid w:val="005E7330"/>
    <w:rsid w:val="005E7B41"/>
    <w:rsid w:val="005F2BC1"/>
    <w:rsid w:val="005F2F6C"/>
    <w:rsid w:val="005F3CFC"/>
    <w:rsid w:val="005F419F"/>
    <w:rsid w:val="005F443C"/>
    <w:rsid w:val="005F51C4"/>
    <w:rsid w:val="005F5E56"/>
    <w:rsid w:val="005F5F72"/>
    <w:rsid w:val="005F62BE"/>
    <w:rsid w:val="005F728C"/>
    <w:rsid w:val="005F7676"/>
    <w:rsid w:val="00600156"/>
    <w:rsid w:val="006008BB"/>
    <w:rsid w:val="00600E7E"/>
    <w:rsid w:val="0060145A"/>
    <w:rsid w:val="0060338A"/>
    <w:rsid w:val="006057E4"/>
    <w:rsid w:val="00605C5B"/>
    <w:rsid w:val="00605F85"/>
    <w:rsid w:val="00607EE1"/>
    <w:rsid w:val="00613473"/>
    <w:rsid w:val="00613994"/>
    <w:rsid w:val="00614D49"/>
    <w:rsid w:val="0061624A"/>
    <w:rsid w:val="00622371"/>
    <w:rsid w:val="006226E7"/>
    <w:rsid w:val="006230B4"/>
    <w:rsid w:val="006262C3"/>
    <w:rsid w:val="00626B10"/>
    <w:rsid w:val="006270FF"/>
    <w:rsid w:val="006273DC"/>
    <w:rsid w:val="00630AAC"/>
    <w:rsid w:val="00632162"/>
    <w:rsid w:val="006325EB"/>
    <w:rsid w:val="00633B83"/>
    <w:rsid w:val="00633F93"/>
    <w:rsid w:val="00634165"/>
    <w:rsid w:val="0063423A"/>
    <w:rsid w:val="00634357"/>
    <w:rsid w:val="00634B09"/>
    <w:rsid w:val="00637913"/>
    <w:rsid w:val="00640FE6"/>
    <w:rsid w:val="0064502D"/>
    <w:rsid w:val="00645190"/>
    <w:rsid w:val="00646CD6"/>
    <w:rsid w:val="006476EE"/>
    <w:rsid w:val="0064781E"/>
    <w:rsid w:val="00647E00"/>
    <w:rsid w:val="0065046F"/>
    <w:rsid w:val="006524DB"/>
    <w:rsid w:val="00652A8E"/>
    <w:rsid w:val="00652F2E"/>
    <w:rsid w:val="00653726"/>
    <w:rsid w:val="0065460C"/>
    <w:rsid w:val="00654967"/>
    <w:rsid w:val="006552C5"/>
    <w:rsid w:val="006568D9"/>
    <w:rsid w:val="00656BD6"/>
    <w:rsid w:val="00656E81"/>
    <w:rsid w:val="00660580"/>
    <w:rsid w:val="00660A9D"/>
    <w:rsid w:val="00662468"/>
    <w:rsid w:val="006626B2"/>
    <w:rsid w:val="00663D28"/>
    <w:rsid w:val="0066461C"/>
    <w:rsid w:val="0066462C"/>
    <w:rsid w:val="0067155A"/>
    <w:rsid w:val="0067273C"/>
    <w:rsid w:val="00673530"/>
    <w:rsid w:val="006736D0"/>
    <w:rsid w:val="0067391F"/>
    <w:rsid w:val="00673C51"/>
    <w:rsid w:val="00674F09"/>
    <w:rsid w:val="006758A4"/>
    <w:rsid w:val="006766E3"/>
    <w:rsid w:val="00676E41"/>
    <w:rsid w:val="0067716A"/>
    <w:rsid w:val="00680BCC"/>
    <w:rsid w:val="00680C46"/>
    <w:rsid w:val="0068185D"/>
    <w:rsid w:val="0068270B"/>
    <w:rsid w:val="00683A24"/>
    <w:rsid w:val="0068484F"/>
    <w:rsid w:val="006849CC"/>
    <w:rsid w:val="006860F1"/>
    <w:rsid w:val="006866EC"/>
    <w:rsid w:val="0068759B"/>
    <w:rsid w:val="006945C3"/>
    <w:rsid w:val="006955D9"/>
    <w:rsid w:val="0069572C"/>
    <w:rsid w:val="006957B0"/>
    <w:rsid w:val="00697A78"/>
    <w:rsid w:val="006A0519"/>
    <w:rsid w:val="006A0B2F"/>
    <w:rsid w:val="006A1325"/>
    <w:rsid w:val="006A2442"/>
    <w:rsid w:val="006A4D3C"/>
    <w:rsid w:val="006A646E"/>
    <w:rsid w:val="006A73DF"/>
    <w:rsid w:val="006A7FC5"/>
    <w:rsid w:val="006A7FD6"/>
    <w:rsid w:val="006B0908"/>
    <w:rsid w:val="006B27D9"/>
    <w:rsid w:val="006B32C1"/>
    <w:rsid w:val="006B4019"/>
    <w:rsid w:val="006B436C"/>
    <w:rsid w:val="006B60B6"/>
    <w:rsid w:val="006C09FF"/>
    <w:rsid w:val="006C16B6"/>
    <w:rsid w:val="006C2B5E"/>
    <w:rsid w:val="006C5D78"/>
    <w:rsid w:val="006C5DFA"/>
    <w:rsid w:val="006C6092"/>
    <w:rsid w:val="006C7682"/>
    <w:rsid w:val="006D070A"/>
    <w:rsid w:val="006D0835"/>
    <w:rsid w:val="006D0C5E"/>
    <w:rsid w:val="006D37C9"/>
    <w:rsid w:val="006D404E"/>
    <w:rsid w:val="006D5522"/>
    <w:rsid w:val="006D6C79"/>
    <w:rsid w:val="006D6E82"/>
    <w:rsid w:val="006E0160"/>
    <w:rsid w:val="006E0B32"/>
    <w:rsid w:val="006E123C"/>
    <w:rsid w:val="006E288B"/>
    <w:rsid w:val="006E5D38"/>
    <w:rsid w:val="006F12BE"/>
    <w:rsid w:val="006F14FA"/>
    <w:rsid w:val="0070024A"/>
    <w:rsid w:val="00700B47"/>
    <w:rsid w:val="0070105C"/>
    <w:rsid w:val="00701701"/>
    <w:rsid w:val="007020B0"/>
    <w:rsid w:val="00702C07"/>
    <w:rsid w:val="00703135"/>
    <w:rsid w:val="0070403F"/>
    <w:rsid w:val="00705763"/>
    <w:rsid w:val="00715165"/>
    <w:rsid w:val="0071795B"/>
    <w:rsid w:val="0072081C"/>
    <w:rsid w:val="00721BEA"/>
    <w:rsid w:val="0072319C"/>
    <w:rsid w:val="007242FD"/>
    <w:rsid w:val="00724956"/>
    <w:rsid w:val="00724A0D"/>
    <w:rsid w:val="00731732"/>
    <w:rsid w:val="00731790"/>
    <w:rsid w:val="00731DFC"/>
    <w:rsid w:val="00733745"/>
    <w:rsid w:val="00733E7B"/>
    <w:rsid w:val="00733EB3"/>
    <w:rsid w:val="007341CF"/>
    <w:rsid w:val="00735E29"/>
    <w:rsid w:val="0073651C"/>
    <w:rsid w:val="0073678B"/>
    <w:rsid w:val="0074183C"/>
    <w:rsid w:val="00741C06"/>
    <w:rsid w:val="00742FB1"/>
    <w:rsid w:val="00743E2E"/>
    <w:rsid w:val="00743E91"/>
    <w:rsid w:val="00746D84"/>
    <w:rsid w:val="0074740F"/>
    <w:rsid w:val="007506A6"/>
    <w:rsid w:val="00750CC6"/>
    <w:rsid w:val="00750DEA"/>
    <w:rsid w:val="0075179A"/>
    <w:rsid w:val="007576DF"/>
    <w:rsid w:val="00757B43"/>
    <w:rsid w:val="00757F10"/>
    <w:rsid w:val="00760211"/>
    <w:rsid w:val="00760AB0"/>
    <w:rsid w:val="00764E7B"/>
    <w:rsid w:val="007667C9"/>
    <w:rsid w:val="007669C1"/>
    <w:rsid w:val="00767410"/>
    <w:rsid w:val="0077081C"/>
    <w:rsid w:val="00771EE4"/>
    <w:rsid w:val="00774A4D"/>
    <w:rsid w:val="00775671"/>
    <w:rsid w:val="00777044"/>
    <w:rsid w:val="0078001E"/>
    <w:rsid w:val="007805F7"/>
    <w:rsid w:val="00781F82"/>
    <w:rsid w:val="00782682"/>
    <w:rsid w:val="007830DA"/>
    <w:rsid w:val="007845CC"/>
    <w:rsid w:val="00785367"/>
    <w:rsid w:val="00786B73"/>
    <w:rsid w:val="00790120"/>
    <w:rsid w:val="00790BD9"/>
    <w:rsid w:val="00791CFA"/>
    <w:rsid w:val="007937C8"/>
    <w:rsid w:val="007948D9"/>
    <w:rsid w:val="00795B59"/>
    <w:rsid w:val="007964E9"/>
    <w:rsid w:val="007A043D"/>
    <w:rsid w:val="007A081C"/>
    <w:rsid w:val="007A0CC1"/>
    <w:rsid w:val="007A109A"/>
    <w:rsid w:val="007A1B45"/>
    <w:rsid w:val="007A3204"/>
    <w:rsid w:val="007A3622"/>
    <w:rsid w:val="007A3D5E"/>
    <w:rsid w:val="007A4666"/>
    <w:rsid w:val="007A5DB6"/>
    <w:rsid w:val="007A657F"/>
    <w:rsid w:val="007A71EF"/>
    <w:rsid w:val="007A7C2E"/>
    <w:rsid w:val="007A7EB9"/>
    <w:rsid w:val="007B042D"/>
    <w:rsid w:val="007B06A0"/>
    <w:rsid w:val="007B3BE8"/>
    <w:rsid w:val="007B4386"/>
    <w:rsid w:val="007B43C5"/>
    <w:rsid w:val="007B449F"/>
    <w:rsid w:val="007B5619"/>
    <w:rsid w:val="007C1EA0"/>
    <w:rsid w:val="007C1F59"/>
    <w:rsid w:val="007C2539"/>
    <w:rsid w:val="007C2E3A"/>
    <w:rsid w:val="007C3072"/>
    <w:rsid w:val="007C4669"/>
    <w:rsid w:val="007C5170"/>
    <w:rsid w:val="007C5E0F"/>
    <w:rsid w:val="007C6154"/>
    <w:rsid w:val="007C6D8E"/>
    <w:rsid w:val="007C72CD"/>
    <w:rsid w:val="007D00D4"/>
    <w:rsid w:val="007D0A0F"/>
    <w:rsid w:val="007D21AB"/>
    <w:rsid w:val="007D23D9"/>
    <w:rsid w:val="007D2526"/>
    <w:rsid w:val="007D2562"/>
    <w:rsid w:val="007D457B"/>
    <w:rsid w:val="007D4997"/>
    <w:rsid w:val="007D4DF7"/>
    <w:rsid w:val="007D62EB"/>
    <w:rsid w:val="007D6E37"/>
    <w:rsid w:val="007D73DC"/>
    <w:rsid w:val="007D7D68"/>
    <w:rsid w:val="007E0B07"/>
    <w:rsid w:val="007E0EDE"/>
    <w:rsid w:val="007E3944"/>
    <w:rsid w:val="007E3C13"/>
    <w:rsid w:val="007E3DA4"/>
    <w:rsid w:val="007E3FDE"/>
    <w:rsid w:val="007E4643"/>
    <w:rsid w:val="007E4938"/>
    <w:rsid w:val="007E57A1"/>
    <w:rsid w:val="007E6E10"/>
    <w:rsid w:val="007E78B9"/>
    <w:rsid w:val="007E7BF9"/>
    <w:rsid w:val="007F00DD"/>
    <w:rsid w:val="007F1C3E"/>
    <w:rsid w:val="007F1D61"/>
    <w:rsid w:val="007F24A4"/>
    <w:rsid w:val="007F4574"/>
    <w:rsid w:val="007F5323"/>
    <w:rsid w:val="007F5BDA"/>
    <w:rsid w:val="007F5D78"/>
    <w:rsid w:val="007F5DD5"/>
    <w:rsid w:val="007F74AB"/>
    <w:rsid w:val="007F7CF0"/>
    <w:rsid w:val="00801F4B"/>
    <w:rsid w:val="008023CE"/>
    <w:rsid w:val="008033C0"/>
    <w:rsid w:val="00804355"/>
    <w:rsid w:val="00804664"/>
    <w:rsid w:val="00804D56"/>
    <w:rsid w:val="008058F3"/>
    <w:rsid w:val="00806530"/>
    <w:rsid w:val="00806E7E"/>
    <w:rsid w:val="00807008"/>
    <w:rsid w:val="00810082"/>
    <w:rsid w:val="00810363"/>
    <w:rsid w:val="00812AAA"/>
    <w:rsid w:val="008136E4"/>
    <w:rsid w:val="0081407B"/>
    <w:rsid w:val="008140DA"/>
    <w:rsid w:val="008146EC"/>
    <w:rsid w:val="00814C3D"/>
    <w:rsid w:val="00817151"/>
    <w:rsid w:val="00821F17"/>
    <w:rsid w:val="00823069"/>
    <w:rsid w:val="00827D84"/>
    <w:rsid w:val="00830754"/>
    <w:rsid w:val="008307E1"/>
    <w:rsid w:val="00830A7A"/>
    <w:rsid w:val="00830AF0"/>
    <w:rsid w:val="0083286E"/>
    <w:rsid w:val="00832D93"/>
    <w:rsid w:val="00835E07"/>
    <w:rsid w:val="00836474"/>
    <w:rsid w:val="00836717"/>
    <w:rsid w:val="008376B6"/>
    <w:rsid w:val="00840683"/>
    <w:rsid w:val="008407B5"/>
    <w:rsid w:val="00843437"/>
    <w:rsid w:val="0084402C"/>
    <w:rsid w:val="00844030"/>
    <w:rsid w:val="00844B65"/>
    <w:rsid w:val="00845EE2"/>
    <w:rsid w:val="008463AD"/>
    <w:rsid w:val="00846787"/>
    <w:rsid w:val="00847D8B"/>
    <w:rsid w:val="00852AA0"/>
    <w:rsid w:val="00854EE6"/>
    <w:rsid w:val="008557CE"/>
    <w:rsid w:val="00855FEB"/>
    <w:rsid w:val="00857D36"/>
    <w:rsid w:val="008607D1"/>
    <w:rsid w:val="00860BFB"/>
    <w:rsid w:val="00862612"/>
    <w:rsid w:val="00863262"/>
    <w:rsid w:val="0086333D"/>
    <w:rsid w:val="008634FF"/>
    <w:rsid w:val="00863BC4"/>
    <w:rsid w:val="00864499"/>
    <w:rsid w:val="0086499D"/>
    <w:rsid w:val="0086537A"/>
    <w:rsid w:val="0086691D"/>
    <w:rsid w:val="0086692E"/>
    <w:rsid w:val="00873857"/>
    <w:rsid w:val="00873E22"/>
    <w:rsid w:val="00873FCB"/>
    <w:rsid w:val="00873FE5"/>
    <w:rsid w:val="00874486"/>
    <w:rsid w:val="00875A42"/>
    <w:rsid w:val="008760E8"/>
    <w:rsid w:val="00877421"/>
    <w:rsid w:val="008808C2"/>
    <w:rsid w:val="00882319"/>
    <w:rsid w:val="00882FDA"/>
    <w:rsid w:val="00884041"/>
    <w:rsid w:val="00884304"/>
    <w:rsid w:val="0088483D"/>
    <w:rsid w:val="00885358"/>
    <w:rsid w:val="008861D5"/>
    <w:rsid w:val="00887F37"/>
    <w:rsid w:val="0089150F"/>
    <w:rsid w:val="008949E0"/>
    <w:rsid w:val="00895D5A"/>
    <w:rsid w:val="008A0EEB"/>
    <w:rsid w:val="008A0FE1"/>
    <w:rsid w:val="008A1148"/>
    <w:rsid w:val="008A1C44"/>
    <w:rsid w:val="008A3CD6"/>
    <w:rsid w:val="008A4C68"/>
    <w:rsid w:val="008A57AC"/>
    <w:rsid w:val="008A5AC8"/>
    <w:rsid w:val="008A5F0A"/>
    <w:rsid w:val="008A6AA0"/>
    <w:rsid w:val="008A7479"/>
    <w:rsid w:val="008B0DF7"/>
    <w:rsid w:val="008B1AAE"/>
    <w:rsid w:val="008B3E44"/>
    <w:rsid w:val="008B4962"/>
    <w:rsid w:val="008C1D7E"/>
    <w:rsid w:val="008C2159"/>
    <w:rsid w:val="008C341D"/>
    <w:rsid w:val="008D07CE"/>
    <w:rsid w:val="008D087C"/>
    <w:rsid w:val="008D0BF7"/>
    <w:rsid w:val="008D1B3A"/>
    <w:rsid w:val="008D2E02"/>
    <w:rsid w:val="008D60FD"/>
    <w:rsid w:val="008D716A"/>
    <w:rsid w:val="008D79B8"/>
    <w:rsid w:val="008E05F7"/>
    <w:rsid w:val="008E196C"/>
    <w:rsid w:val="008E2A16"/>
    <w:rsid w:val="008E2F69"/>
    <w:rsid w:val="008E361B"/>
    <w:rsid w:val="008E5BDA"/>
    <w:rsid w:val="008E5ECD"/>
    <w:rsid w:val="008E6BBD"/>
    <w:rsid w:val="008F3BCC"/>
    <w:rsid w:val="008F3BD1"/>
    <w:rsid w:val="008F4432"/>
    <w:rsid w:val="008F5123"/>
    <w:rsid w:val="008F5C43"/>
    <w:rsid w:val="008F6284"/>
    <w:rsid w:val="008F7BED"/>
    <w:rsid w:val="008F7C3F"/>
    <w:rsid w:val="009002EC"/>
    <w:rsid w:val="0090363E"/>
    <w:rsid w:val="009054A2"/>
    <w:rsid w:val="0090561A"/>
    <w:rsid w:val="009067D7"/>
    <w:rsid w:val="00910B37"/>
    <w:rsid w:val="00910B4C"/>
    <w:rsid w:val="00911A3B"/>
    <w:rsid w:val="00913063"/>
    <w:rsid w:val="0091335B"/>
    <w:rsid w:val="009153E2"/>
    <w:rsid w:val="00915CDE"/>
    <w:rsid w:val="009169BF"/>
    <w:rsid w:val="00916E26"/>
    <w:rsid w:val="009173BE"/>
    <w:rsid w:val="00917FB9"/>
    <w:rsid w:val="00920D42"/>
    <w:rsid w:val="009236F9"/>
    <w:rsid w:val="0092538D"/>
    <w:rsid w:val="00925DCE"/>
    <w:rsid w:val="00926383"/>
    <w:rsid w:val="0092737A"/>
    <w:rsid w:val="009316CB"/>
    <w:rsid w:val="009333F9"/>
    <w:rsid w:val="00933747"/>
    <w:rsid w:val="00933AB6"/>
    <w:rsid w:val="00933B2D"/>
    <w:rsid w:val="00934772"/>
    <w:rsid w:val="0093500B"/>
    <w:rsid w:val="00935933"/>
    <w:rsid w:val="009420D5"/>
    <w:rsid w:val="00942967"/>
    <w:rsid w:val="00942ACA"/>
    <w:rsid w:val="0094378E"/>
    <w:rsid w:val="00944F7B"/>
    <w:rsid w:val="00945B2D"/>
    <w:rsid w:val="009479BC"/>
    <w:rsid w:val="00950217"/>
    <w:rsid w:val="00950B74"/>
    <w:rsid w:val="00951D2A"/>
    <w:rsid w:val="00953E70"/>
    <w:rsid w:val="009542D6"/>
    <w:rsid w:val="00961457"/>
    <w:rsid w:val="00963AD2"/>
    <w:rsid w:val="009640F2"/>
    <w:rsid w:val="00964EC3"/>
    <w:rsid w:val="009653AF"/>
    <w:rsid w:val="00965E56"/>
    <w:rsid w:val="00966A38"/>
    <w:rsid w:val="00971ADD"/>
    <w:rsid w:val="00972B6B"/>
    <w:rsid w:val="00972F5F"/>
    <w:rsid w:val="00974723"/>
    <w:rsid w:val="0097573E"/>
    <w:rsid w:val="00976D9F"/>
    <w:rsid w:val="00977588"/>
    <w:rsid w:val="00977AA2"/>
    <w:rsid w:val="00977CA7"/>
    <w:rsid w:val="00980520"/>
    <w:rsid w:val="00980B5A"/>
    <w:rsid w:val="00981693"/>
    <w:rsid w:val="00981A61"/>
    <w:rsid w:val="00982579"/>
    <w:rsid w:val="00982E19"/>
    <w:rsid w:val="00983E58"/>
    <w:rsid w:val="0098589C"/>
    <w:rsid w:val="00985BB2"/>
    <w:rsid w:val="00990BC1"/>
    <w:rsid w:val="009912B1"/>
    <w:rsid w:val="009925C3"/>
    <w:rsid w:val="00992F6B"/>
    <w:rsid w:val="0099319D"/>
    <w:rsid w:val="009931D0"/>
    <w:rsid w:val="009934C9"/>
    <w:rsid w:val="009937F7"/>
    <w:rsid w:val="00994DC8"/>
    <w:rsid w:val="00995542"/>
    <w:rsid w:val="0099728D"/>
    <w:rsid w:val="0099784D"/>
    <w:rsid w:val="009978FD"/>
    <w:rsid w:val="009A0B1B"/>
    <w:rsid w:val="009A15F9"/>
    <w:rsid w:val="009A273F"/>
    <w:rsid w:val="009A42DE"/>
    <w:rsid w:val="009A461F"/>
    <w:rsid w:val="009A51D6"/>
    <w:rsid w:val="009A59E1"/>
    <w:rsid w:val="009A5E22"/>
    <w:rsid w:val="009A6186"/>
    <w:rsid w:val="009A64BB"/>
    <w:rsid w:val="009A7111"/>
    <w:rsid w:val="009B117C"/>
    <w:rsid w:val="009B1F9B"/>
    <w:rsid w:val="009B31E1"/>
    <w:rsid w:val="009B37E5"/>
    <w:rsid w:val="009B4061"/>
    <w:rsid w:val="009B40F2"/>
    <w:rsid w:val="009B4C03"/>
    <w:rsid w:val="009B5FD7"/>
    <w:rsid w:val="009B6C28"/>
    <w:rsid w:val="009B7468"/>
    <w:rsid w:val="009B7E87"/>
    <w:rsid w:val="009C0E0D"/>
    <w:rsid w:val="009C1E62"/>
    <w:rsid w:val="009C3ED4"/>
    <w:rsid w:val="009C4F89"/>
    <w:rsid w:val="009C6DA5"/>
    <w:rsid w:val="009C75FD"/>
    <w:rsid w:val="009C7B25"/>
    <w:rsid w:val="009D038D"/>
    <w:rsid w:val="009D07BD"/>
    <w:rsid w:val="009D08C2"/>
    <w:rsid w:val="009D2106"/>
    <w:rsid w:val="009D2C5F"/>
    <w:rsid w:val="009D31B8"/>
    <w:rsid w:val="009D578D"/>
    <w:rsid w:val="009D69D1"/>
    <w:rsid w:val="009D6B0C"/>
    <w:rsid w:val="009D7DA5"/>
    <w:rsid w:val="009E05FF"/>
    <w:rsid w:val="009E0D17"/>
    <w:rsid w:val="009E2D3C"/>
    <w:rsid w:val="009E3FF0"/>
    <w:rsid w:val="009E4CCC"/>
    <w:rsid w:val="009E5F39"/>
    <w:rsid w:val="009E76B7"/>
    <w:rsid w:val="009E78C0"/>
    <w:rsid w:val="009F3307"/>
    <w:rsid w:val="009F55E3"/>
    <w:rsid w:val="009F606D"/>
    <w:rsid w:val="009F62F7"/>
    <w:rsid w:val="009F74F1"/>
    <w:rsid w:val="00A00569"/>
    <w:rsid w:val="00A006D0"/>
    <w:rsid w:val="00A00E4B"/>
    <w:rsid w:val="00A01045"/>
    <w:rsid w:val="00A019E0"/>
    <w:rsid w:val="00A045A6"/>
    <w:rsid w:val="00A11417"/>
    <w:rsid w:val="00A13044"/>
    <w:rsid w:val="00A146E8"/>
    <w:rsid w:val="00A14EA2"/>
    <w:rsid w:val="00A152C1"/>
    <w:rsid w:val="00A15B71"/>
    <w:rsid w:val="00A15D10"/>
    <w:rsid w:val="00A17051"/>
    <w:rsid w:val="00A20D93"/>
    <w:rsid w:val="00A212C5"/>
    <w:rsid w:val="00A21F53"/>
    <w:rsid w:val="00A220DE"/>
    <w:rsid w:val="00A229E0"/>
    <w:rsid w:val="00A24827"/>
    <w:rsid w:val="00A24D06"/>
    <w:rsid w:val="00A2590B"/>
    <w:rsid w:val="00A30243"/>
    <w:rsid w:val="00A34486"/>
    <w:rsid w:val="00A36B17"/>
    <w:rsid w:val="00A3733A"/>
    <w:rsid w:val="00A3796E"/>
    <w:rsid w:val="00A40014"/>
    <w:rsid w:val="00A40BAA"/>
    <w:rsid w:val="00A412C1"/>
    <w:rsid w:val="00A440C7"/>
    <w:rsid w:val="00A446D8"/>
    <w:rsid w:val="00A44EBB"/>
    <w:rsid w:val="00A450BE"/>
    <w:rsid w:val="00A46B08"/>
    <w:rsid w:val="00A4707F"/>
    <w:rsid w:val="00A470E0"/>
    <w:rsid w:val="00A474A2"/>
    <w:rsid w:val="00A5339A"/>
    <w:rsid w:val="00A535C1"/>
    <w:rsid w:val="00A55250"/>
    <w:rsid w:val="00A55589"/>
    <w:rsid w:val="00A5590E"/>
    <w:rsid w:val="00A56AAC"/>
    <w:rsid w:val="00A56ACF"/>
    <w:rsid w:val="00A572FB"/>
    <w:rsid w:val="00A579A2"/>
    <w:rsid w:val="00A6103C"/>
    <w:rsid w:val="00A62540"/>
    <w:rsid w:val="00A62912"/>
    <w:rsid w:val="00A62F8B"/>
    <w:rsid w:val="00A63F10"/>
    <w:rsid w:val="00A65BF3"/>
    <w:rsid w:val="00A66121"/>
    <w:rsid w:val="00A66277"/>
    <w:rsid w:val="00A66816"/>
    <w:rsid w:val="00A668FA"/>
    <w:rsid w:val="00A66BD6"/>
    <w:rsid w:val="00A6717B"/>
    <w:rsid w:val="00A70452"/>
    <w:rsid w:val="00A71D07"/>
    <w:rsid w:val="00A71EC9"/>
    <w:rsid w:val="00A7340D"/>
    <w:rsid w:val="00A735AB"/>
    <w:rsid w:val="00A748BC"/>
    <w:rsid w:val="00A7564A"/>
    <w:rsid w:val="00A75E2F"/>
    <w:rsid w:val="00A80A91"/>
    <w:rsid w:val="00A80AF4"/>
    <w:rsid w:val="00A8416A"/>
    <w:rsid w:val="00A8587E"/>
    <w:rsid w:val="00A85B2D"/>
    <w:rsid w:val="00A87A36"/>
    <w:rsid w:val="00A90F74"/>
    <w:rsid w:val="00A910EE"/>
    <w:rsid w:val="00A916A5"/>
    <w:rsid w:val="00A92FAA"/>
    <w:rsid w:val="00A940EE"/>
    <w:rsid w:val="00A94A36"/>
    <w:rsid w:val="00A95254"/>
    <w:rsid w:val="00A968A5"/>
    <w:rsid w:val="00A96AC9"/>
    <w:rsid w:val="00A97DBA"/>
    <w:rsid w:val="00AA144D"/>
    <w:rsid w:val="00AA153E"/>
    <w:rsid w:val="00AA16A9"/>
    <w:rsid w:val="00AA1ED4"/>
    <w:rsid w:val="00AA32CD"/>
    <w:rsid w:val="00AA4105"/>
    <w:rsid w:val="00AA421B"/>
    <w:rsid w:val="00AB1015"/>
    <w:rsid w:val="00AB1F50"/>
    <w:rsid w:val="00AB2D0F"/>
    <w:rsid w:val="00AB3502"/>
    <w:rsid w:val="00AB549D"/>
    <w:rsid w:val="00AB60E6"/>
    <w:rsid w:val="00AB66DF"/>
    <w:rsid w:val="00AB714F"/>
    <w:rsid w:val="00AC0081"/>
    <w:rsid w:val="00AC28D4"/>
    <w:rsid w:val="00AC3D9B"/>
    <w:rsid w:val="00AD0459"/>
    <w:rsid w:val="00AD0824"/>
    <w:rsid w:val="00AD08A5"/>
    <w:rsid w:val="00AD0AC1"/>
    <w:rsid w:val="00AD231F"/>
    <w:rsid w:val="00AD2DCB"/>
    <w:rsid w:val="00AD3819"/>
    <w:rsid w:val="00AD4133"/>
    <w:rsid w:val="00AD45C9"/>
    <w:rsid w:val="00AD6060"/>
    <w:rsid w:val="00AD681F"/>
    <w:rsid w:val="00AD69F8"/>
    <w:rsid w:val="00AD718E"/>
    <w:rsid w:val="00AE0116"/>
    <w:rsid w:val="00AE13F9"/>
    <w:rsid w:val="00AE28E7"/>
    <w:rsid w:val="00AE30E5"/>
    <w:rsid w:val="00AE3BAA"/>
    <w:rsid w:val="00AE4C82"/>
    <w:rsid w:val="00AE4F3D"/>
    <w:rsid w:val="00AE55C7"/>
    <w:rsid w:val="00AE6F10"/>
    <w:rsid w:val="00AE7CF8"/>
    <w:rsid w:val="00AF00B5"/>
    <w:rsid w:val="00AF11C1"/>
    <w:rsid w:val="00AF2D99"/>
    <w:rsid w:val="00AF3729"/>
    <w:rsid w:val="00AF5206"/>
    <w:rsid w:val="00AF607A"/>
    <w:rsid w:val="00B04C3E"/>
    <w:rsid w:val="00B05D35"/>
    <w:rsid w:val="00B07BD7"/>
    <w:rsid w:val="00B11CE2"/>
    <w:rsid w:val="00B1367B"/>
    <w:rsid w:val="00B13BD4"/>
    <w:rsid w:val="00B14C78"/>
    <w:rsid w:val="00B157E4"/>
    <w:rsid w:val="00B16737"/>
    <w:rsid w:val="00B17E1E"/>
    <w:rsid w:val="00B20239"/>
    <w:rsid w:val="00B20A2E"/>
    <w:rsid w:val="00B2180D"/>
    <w:rsid w:val="00B22DE2"/>
    <w:rsid w:val="00B2355A"/>
    <w:rsid w:val="00B2522D"/>
    <w:rsid w:val="00B252BF"/>
    <w:rsid w:val="00B2548B"/>
    <w:rsid w:val="00B2576C"/>
    <w:rsid w:val="00B2586A"/>
    <w:rsid w:val="00B26BB6"/>
    <w:rsid w:val="00B32093"/>
    <w:rsid w:val="00B329C3"/>
    <w:rsid w:val="00B33DA5"/>
    <w:rsid w:val="00B34362"/>
    <w:rsid w:val="00B3722D"/>
    <w:rsid w:val="00B40842"/>
    <w:rsid w:val="00B41BE5"/>
    <w:rsid w:val="00B4274F"/>
    <w:rsid w:val="00B42A05"/>
    <w:rsid w:val="00B439B4"/>
    <w:rsid w:val="00B43B4B"/>
    <w:rsid w:val="00B45277"/>
    <w:rsid w:val="00B45C7C"/>
    <w:rsid w:val="00B478DC"/>
    <w:rsid w:val="00B513E4"/>
    <w:rsid w:val="00B51B5D"/>
    <w:rsid w:val="00B52DA7"/>
    <w:rsid w:val="00B53BD4"/>
    <w:rsid w:val="00B5486C"/>
    <w:rsid w:val="00B56B2E"/>
    <w:rsid w:val="00B6026B"/>
    <w:rsid w:val="00B6193B"/>
    <w:rsid w:val="00B61A5F"/>
    <w:rsid w:val="00B62350"/>
    <w:rsid w:val="00B624EB"/>
    <w:rsid w:val="00B66C02"/>
    <w:rsid w:val="00B66EE4"/>
    <w:rsid w:val="00B70591"/>
    <w:rsid w:val="00B71A30"/>
    <w:rsid w:val="00B73C45"/>
    <w:rsid w:val="00B76BF4"/>
    <w:rsid w:val="00B806F6"/>
    <w:rsid w:val="00B807DB"/>
    <w:rsid w:val="00B81C32"/>
    <w:rsid w:val="00B85BEB"/>
    <w:rsid w:val="00B8634E"/>
    <w:rsid w:val="00B874B0"/>
    <w:rsid w:val="00B87A53"/>
    <w:rsid w:val="00B87A88"/>
    <w:rsid w:val="00B9068E"/>
    <w:rsid w:val="00B90E3A"/>
    <w:rsid w:val="00B91492"/>
    <w:rsid w:val="00B918E3"/>
    <w:rsid w:val="00B926E7"/>
    <w:rsid w:val="00B92780"/>
    <w:rsid w:val="00B9284B"/>
    <w:rsid w:val="00B935A2"/>
    <w:rsid w:val="00B939B4"/>
    <w:rsid w:val="00B93AF0"/>
    <w:rsid w:val="00B94856"/>
    <w:rsid w:val="00B94AAA"/>
    <w:rsid w:val="00B952AB"/>
    <w:rsid w:val="00B9560F"/>
    <w:rsid w:val="00B956E5"/>
    <w:rsid w:val="00B96AD2"/>
    <w:rsid w:val="00B96BFF"/>
    <w:rsid w:val="00B96D57"/>
    <w:rsid w:val="00BA2304"/>
    <w:rsid w:val="00BA27ED"/>
    <w:rsid w:val="00BA2EE0"/>
    <w:rsid w:val="00BA3F92"/>
    <w:rsid w:val="00BA5835"/>
    <w:rsid w:val="00BA6CB1"/>
    <w:rsid w:val="00BA77F1"/>
    <w:rsid w:val="00BA7B49"/>
    <w:rsid w:val="00BB0455"/>
    <w:rsid w:val="00BB10D4"/>
    <w:rsid w:val="00BB164E"/>
    <w:rsid w:val="00BB2226"/>
    <w:rsid w:val="00BB2304"/>
    <w:rsid w:val="00BB4953"/>
    <w:rsid w:val="00BB5CD8"/>
    <w:rsid w:val="00BC0869"/>
    <w:rsid w:val="00BC36A4"/>
    <w:rsid w:val="00BC397D"/>
    <w:rsid w:val="00BC3B9B"/>
    <w:rsid w:val="00BC3BEC"/>
    <w:rsid w:val="00BC416B"/>
    <w:rsid w:val="00BC6698"/>
    <w:rsid w:val="00BC677B"/>
    <w:rsid w:val="00BC6D51"/>
    <w:rsid w:val="00BC74E4"/>
    <w:rsid w:val="00BC76C1"/>
    <w:rsid w:val="00BD0028"/>
    <w:rsid w:val="00BD194A"/>
    <w:rsid w:val="00BD27A0"/>
    <w:rsid w:val="00BD3019"/>
    <w:rsid w:val="00BD3092"/>
    <w:rsid w:val="00BD3DFE"/>
    <w:rsid w:val="00BD5544"/>
    <w:rsid w:val="00BD6BBB"/>
    <w:rsid w:val="00BE17DF"/>
    <w:rsid w:val="00BE2B45"/>
    <w:rsid w:val="00BE3281"/>
    <w:rsid w:val="00BE3CF5"/>
    <w:rsid w:val="00BE45F5"/>
    <w:rsid w:val="00BE510A"/>
    <w:rsid w:val="00BE6152"/>
    <w:rsid w:val="00BE6FD7"/>
    <w:rsid w:val="00BF0019"/>
    <w:rsid w:val="00BF068D"/>
    <w:rsid w:val="00BF06A6"/>
    <w:rsid w:val="00BF1B1D"/>
    <w:rsid w:val="00BF523F"/>
    <w:rsid w:val="00BF595A"/>
    <w:rsid w:val="00BF74FC"/>
    <w:rsid w:val="00BF7C00"/>
    <w:rsid w:val="00C00E56"/>
    <w:rsid w:val="00C01585"/>
    <w:rsid w:val="00C04355"/>
    <w:rsid w:val="00C065AD"/>
    <w:rsid w:val="00C1112D"/>
    <w:rsid w:val="00C12C84"/>
    <w:rsid w:val="00C1321E"/>
    <w:rsid w:val="00C14019"/>
    <w:rsid w:val="00C16611"/>
    <w:rsid w:val="00C16BEE"/>
    <w:rsid w:val="00C20CB0"/>
    <w:rsid w:val="00C223B4"/>
    <w:rsid w:val="00C2292D"/>
    <w:rsid w:val="00C22B76"/>
    <w:rsid w:val="00C22E93"/>
    <w:rsid w:val="00C258B5"/>
    <w:rsid w:val="00C30033"/>
    <w:rsid w:val="00C30AAC"/>
    <w:rsid w:val="00C30EBB"/>
    <w:rsid w:val="00C31C57"/>
    <w:rsid w:val="00C3420D"/>
    <w:rsid w:val="00C3434E"/>
    <w:rsid w:val="00C34978"/>
    <w:rsid w:val="00C3624F"/>
    <w:rsid w:val="00C366F0"/>
    <w:rsid w:val="00C37446"/>
    <w:rsid w:val="00C374F9"/>
    <w:rsid w:val="00C423E3"/>
    <w:rsid w:val="00C426D4"/>
    <w:rsid w:val="00C42C92"/>
    <w:rsid w:val="00C43B85"/>
    <w:rsid w:val="00C44135"/>
    <w:rsid w:val="00C44C8E"/>
    <w:rsid w:val="00C45A43"/>
    <w:rsid w:val="00C45BF0"/>
    <w:rsid w:val="00C4725B"/>
    <w:rsid w:val="00C47976"/>
    <w:rsid w:val="00C47EA3"/>
    <w:rsid w:val="00C51B4A"/>
    <w:rsid w:val="00C53C49"/>
    <w:rsid w:val="00C5482A"/>
    <w:rsid w:val="00C54D7C"/>
    <w:rsid w:val="00C55496"/>
    <w:rsid w:val="00C56517"/>
    <w:rsid w:val="00C57301"/>
    <w:rsid w:val="00C6088B"/>
    <w:rsid w:val="00C608A0"/>
    <w:rsid w:val="00C60C48"/>
    <w:rsid w:val="00C60F4D"/>
    <w:rsid w:val="00C63414"/>
    <w:rsid w:val="00C64647"/>
    <w:rsid w:val="00C64693"/>
    <w:rsid w:val="00C64936"/>
    <w:rsid w:val="00C65413"/>
    <w:rsid w:val="00C657D5"/>
    <w:rsid w:val="00C71584"/>
    <w:rsid w:val="00C71C00"/>
    <w:rsid w:val="00C72305"/>
    <w:rsid w:val="00C72E5A"/>
    <w:rsid w:val="00C735E9"/>
    <w:rsid w:val="00C73F31"/>
    <w:rsid w:val="00C75770"/>
    <w:rsid w:val="00C7622F"/>
    <w:rsid w:val="00C76300"/>
    <w:rsid w:val="00C8262C"/>
    <w:rsid w:val="00C8342C"/>
    <w:rsid w:val="00C839AB"/>
    <w:rsid w:val="00C84E7F"/>
    <w:rsid w:val="00C85EDF"/>
    <w:rsid w:val="00C86C7A"/>
    <w:rsid w:val="00C911FE"/>
    <w:rsid w:val="00C91BEE"/>
    <w:rsid w:val="00C93365"/>
    <w:rsid w:val="00C95112"/>
    <w:rsid w:val="00C96162"/>
    <w:rsid w:val="00C97332"/>
    <w:rsid w:val="00C973F7"/>
    <w:rsid w:val="00C9774A"/>
    <w:rsid w:val="00CA0336"/>
    <w:rsid w:val="00CA0D0E"/>
    <w:rsid w:val="00CA2459"/>
    <w:rsid w:val="00CA38F7"/>
    <w:rsid w:val="00CA543E"/>
    <w:rsid w:val="00CA6045"/>
    <w:rsid w:val="00CB07DC"/>
    <w:rsid w:val="00CB1DE1"/>
    <w:rsid w:val="00CB2228"/>
    <w:rsid w:val="00CB2BA9"/>
    <w:rsid w:val="00CB66E5"/>
    <w:rsid w:val="00CB68F1"/>
    <w:rsid w:val="00CB6F28"/>
    <w:rsid w:val="00CB72E2"/>
    <w:rsid w:val="00CC0132"/>
    <w:rsid w:val="00CC0CF1"/>
    <w:rsid w:val="00CC0D9D"/>
    <w:rsid w:val="00CC7F45"/>
    <w:rsid w:val="00CD1BE0"/>
    <w:rsid w:val="00CD56C0"/>
    <w:rsid w:val="00CD6935"/>
    <w:rsid w:val="00CD6FBE"/>
    <w:rsid w:val="00CD704E"/>
    <w:rsid w:val="00CD7FA3"/>
    <w:rsid w:val="00CE04D2"/>
    <w:rsid w:val="00CE3C34"/>
    <w:rsid w:val="00CE4ED2"/>
    <w:rsid w:val="00CE51C2"/>
    <w:rsid w:val="00CE5CA5"/>
    <w:rsid w:val="00CE64F2"/>
    <w:rsid w:val="00CE657B"/>
    <w:rsid w:val="00CE7486"/>
    <w:rsid w:val="00CE77B6"/>
    <w:rsid w:val="00CE79F6"/>
    <w:rsid w:val="00CF116B"/>
    <w:rsid w:val="00CF3375"/>
    <w:rsid w:val="00CF4F8C"/>
    <w:rsid w:val="00CF6394"/>
    <w:rsid w:val="00CF7DB7"/>
    <w:rsid w:val="00D002D6"/>
    <w:rsid w:val="00D0037F"/>
    <w:rsid w:val="00D0096E"/>
    <w:rsid w:val="00D00D9F"/>
    <w:rsid w:val="00D03738"/>
    <w:rsid w:val="00D03D66"/>
    <w:rsid w:val="00D04155"/>
    <w:rsid w:val="00D060B5"/>
    <w:rsid w:val="00D0784D"/>
    <w:rsid w:val="00D101EB"/>
    <w:rsid w:val="00D11ED2"/>
    <w:rsid w:val="00D12F89"/>
    <w:rsid w:val="00D1328D"/>
    <w:rsid w:val="00D1570D"/>
    <w:rsid w:val="00D16FD8"/>
    <w:rsid w:val="00D2024F"/>
    <w:rsid w:val="00D21057"/>
    <w:rsid w:val="00D30044"/>
    <w:rsid w:val="00D300D2"/>
    <w:rsid w:val="00D31269"/>
    <w:rsid w:val="00D3271B"/>
    <w:rsid w:val="00D337D0"/>
    <w:rsid w:val="00D34063"/>
    <w:rsid w:val="00D34B7B"/>
    <w:rsid w:val="00D34C37"/>
    <w:rsid w:val="00D35819"/>
    <w:rsid w:val="00D3601C"/>
    <w:rsid w:val="00D36DDC"/>
    <w:rsid w:val="00D41745"/>
    <w:rsid w:val="00D41E8B"/>
    <w:rsid w:val="00D42645"/>
    <w:rsid w:val="00D4378E"/>
    <w:rsid w:val="00D440E3"/>
    <w:rsid w:val="00D447AD"/>
    <w:rsid w:val="00D503DE"/>
    <w:rsid w:val="00D52057"/>
    <w:rsid w:val="00D550EE"/>
    <w:rsid w:val="00D559F9"/>
    <w:rsid w:val="00D55BC7"/>
    <w:rsid w:val="00D6048E"/>
    <w:rsid w:val="00D60868"/>
    <w:rsid w:val="00D61A79"/>
    <w:rsid w:val="00D6221A"/>
    <w:rsid w:val="00D63657"/>
    <w:rsid w:val="00D6375B"/>
    <w:rsid w:val="00D6437B"/>
    <w:rsid w:val="00D660C3"/>
    <w:rsid w:val="00D6610B"/>
    <w:rsid w:val="00D664B0"/>
    <w:rsid w:val="00D6700B"/>
    <w:rsid w:val="00D67048"/>
    <w:rsid w:val="00D7014A"/>
    <w:rsid w:val="00D712E7"/>
    <w:rsid w:val="00D72901"/>
    <w:rsid w:val="00D72E76"/>
    <w:rsid w:val="00D73015"/>
    <w:rsid w:val="00D73503"/>
    <w:rsid w:val="00D743DF"/>
    <w:rsid w:val="00D74679"/>
    <w:rsid w:val="00D7673D"/>
    <w:rsid w:val="00D81311"/>
    <w:rsid w:val="00D81DB1"/>
    <w:rsid w:val="00D83306"/>
    <w:rsid w:val="00D83465"/>
    <w:rsid w:val="00D83BF5"/>
    <w:rsid w:val="00D843F3"/>
    <w:rsid w:val="00D844DF"/>
    <w:rsid w:val="00D84986"/>
    <w:rsid w:val="00D86C34"/>
    <w:rsid w:val="00D87C4F"/>
    <w:rsid w:val="00D9046B"/>
    <w:rsid w:val="00D92270"/>
    <w:rsid w:val="00D95C0E"/>
    <w:rsid w:val="00D96698"/>
    <w:rsid w:val="00D97A1E"/>
    <w:rsid w:val="00D97BCD"/>
    <w:rsid w:val="00D97ED3"/>
    <w:rsid w:val="00DA05BA"/>
    <w:rsid w:val="00DA13F8"/>
    <w:rsid w:val="00DA3CA9"/>
    <w:rsid w:val="00DA6225"/>
    <w:rsid w:val="00DA6243"/>
    <w:rsid w:val="00DA6434"/>
    <w:rsid w:val="00DA698E"/>
    <w:rsid w:val="00DA6A5E"/>
    <w:rsid w:val="00DA7486"/>
    <w:rsid w:val="00DA75B0"/>
    <w:rsid w:val="00DB07C8"/>
    <w:rsid w:val="00DB099D"/>
    <w:rsid w:val="00DB130A"/>
    <w:rsid w:val="00DB13D4"/>
    <w:rsid w:val="00DB1EDC"/>
    <w:rsid w:val="00DB2923"/>
    <w:rsid w:val="00DB53DC"/>
    <w:rsid w:val="00DB55B0"/>
    <w:rsid w:val="00DB634D"/>
    <w:rsid w:val="00DC05FD"/>
    <w:rsid w:val="00DC0616"/>
    <w:rsid w:val="00DC185F"/>
    <w:rsid w:val="00DC1888"/>
    <w:rsid w:val="00DC1E0A"/>
    <w:rsid w:val="00DC2362"/>
    <w:rsid w:val="00DC366E"/>
    <w:rsid w:val="00DC685C"/>
    <w:rsid w:val="00DD1309"/>
    <w:rsid w:val="00DD20AC"/>
    <w:rsid w:val="00DD3B67"/>
    <w:rsid w:val="00DD5503"/>
    <w:rsid w:val="00DD5671"/>
    <w:rsid w:val="00DD57F2"/>
    <w:rsid w:val="00DD63E0"/>
    <w:rsid w:val="00DD7344"/>
    <w:rsid w:val="00DD7B56"/>
    <w:rsid w:val="00DD7E8D"/>
    <w:rsid w:val="00DE1C6C"/>
    <w:rsid w:val="00DE2F18"/>
    <w:rsid w:val="00DE4499"/>
    <w:rsid w:val="00DE4D49"/>
    <w:rsid w:val="00DE5410"/>
    <w:rsid w:val="00DE559B"/>
    <w:rsid w:val="00DE590B"/>
    <w:rsid w:val="00DE5F0A"/>
    <w:rsid w:val="00DE654D"/>
    <w:rsid w:val="00DE7418"/>
    <w:rsid w:val="00DF140D"/>
    <w:rsid w:val="00DF204F"/>
    <w:rsid w:val="00DF45F0"/>
    <w:rsid w:val="00DF4B37"/>
    <w:rsid w:val="00DF4B5B"/>
    <w:rsid w:val="00DF4BD1"/>
    <w:rsid w:val="00DF51BA"/>
    <w:rsid w:val="00DF642E"/>
    <w:rsid w:val="00DF68DA"/>
    <w:rsid w:val="00DF74C7"/>
    <w:rsid w:val="00DF7644"/>
    <w:rsid w:val="00E017CF"/>
    <w:rsid w:val="00E02BB8"/>
    <w:rsid w:val="00E04CA8"/>
    <w:rsid w:val="00E04D04"/>
    <w:rsid w:val="00E0553D"/>
    <w:rsid w:val="00E06896"/>
    <w:rsid w:val="00E077BB"/>
    <w:rsid w:val="00E07F8D"/>
    <w:rsid w:val="00E10972"/>
    <w:rsid w:val="00E11478"/>
    <w:rsid w:val="00E11B7B"/>
    <w:rsid w:val="00E12632"/>
    <w:rsid w:val="00E140B7"/>
    <w:rsid w:val="00E16F51"/>
    <w:rsid w:val="00E17AE7"/>
    <w:rsid w:val="00E202DB"/>
    <w:rsid w:val="00E214B7"/>
    <w:rsid w:val="00E21B66"/>
    <w:rsid w:val="00E224B2"/>
    <w:rsid w:val="00E225B3"/>
    <w:rsid w:val="00E229B6"/>
    <w:rsid w:val="00E244BF"/>
    <w:rsid w:val="00E24531"/>
    <w:rsid w:val="00E25E40"/>
    <w:rsid w:val="00E26540"/>
    <w:rsid w:val="00E2745D"/>
    <w:rsid w:val="00E278F9"/>
    <w:rsid w:val="00E3298C"/>
    <w:rsid w:val="00E32C27"/>
    <w:rsid w:val="00E34024"/>
    <w:rsid w:val="00E34E41"/>
    <w:rsid w:val="00E35220"/>
    <w:rsid w:val="00E36702"/>
    <w:rsid w:val="00E37867"/>
    <w:rsid w:val="00E41CAA"/>
    <w:rsid w:val="00E4207E"/>
    <w:rsid w:val="00E42370"/>
    <w:rsid w:val="00E43600"/>
    <w:rsid w:val="00E4539E"/>
    <w:rsid w:val="00E46250"/>
    <w:rsid w:val="00E502FE"/>
    <w:rsid w:val="00E5070A"/>
    <w:rsid w:val="00E53C31"/>
    <w:rsid w:val="00E55843"/>
    <w:rsid w:val="00E5757B"/>
    <w:rsid w:val="00E57A99"/>
    <w:rsid w:val="00E57F18"/>
    <w:rsid w:val="00E600B1"/>
    <w:rsid w:val="00E6136D"/>
    <w:rsid w:val="00E6242A"/>
    <w:rsid w:val="00E64C6C"/>
    <w:rsid w:val="00E70686"/>
    <w:rsid w:val="00E72FA8"/>
    <w:rsid w:val="00E743FC"/>
    <w:rsid w:val="00E75B33"/>
    <w:rsid w:val="00E76966"/>
    <w:rsid w:val="00E76AC5"/>
    <w:rsid w:val="00E7748D"/>
    <w:rsid w:val="00E82DBA"/>
    <w:rsid w:val="00E833B3"/>
    <w:rsid w:val="00E84B3D"/>
    <w:rsid w:val="00E84C75"/>
    <w:rsid w:val="00E8602A"/>
    <w:rsid w:val="00E8652C"/>
    <w:rsid w:val="00E91726"/>
    <w:rsid w:val="00E9183B"/>
    <w:rsid w:val="00E93F09"/>
    <w:rsid w:val="00E9427E"/>
    <w:rsid w:val="00E94B83"/>
    <w:rsid w:val="00E966BA"/>
    <w:rsid w:val="00E9754F"/>
    <w:rsid w:val="00E9796B"/>
    <w:rsid w:val="00EA0F6D"/>
    <w:rsid w:val="00EA1844"/>
    <w:rsid w:val="00EA2150"/>
    <w:rsid w:val="00EA35E7"/>
    <w:rsid w:val="00EA5746"/>
    <w:rsid w:val="00EA608C"/>
    <w:rsid w:val="00EB2030"/>
    <w:rsid w:val="00EB347A"/>
    <w:rsid w:val="00EB432B"/>
    <w:rsid w:val="00EB564F"/>
    <w:rsid w:val="00EC0550"/>
    <w:rsid w:val="00EC201A"/>
    <w:rsid w:val="00EC3E0A"/>
    <w:rsid w:val="00EC5736"/>
    <w:rsid w:val="00EC6197"/>
    <w:rsid w:val="00EC6862"/>
    <w:rsid w:val="00EC7B1D"/>
    <w:rsid w:val="00EC7B45"/>
    <w:rsid w:val="00ED05D0"/>
    <w:rsid w:val="00ED34F6"/>
    <w:rsid w:val="00ED4691"/>
    <w:rsid w:val="00ED5675"/>
    <w:rsid w:val="00ED5B6A"/>
    <w:rsid w:val="00ED7D02"/>
    <w:rsid w:val="00ED7D45"/>
    <w:rsid w:val="00EE1408"/>
    <w:rsid w:val="00EE24BA"/>
    <w:rsid w:val="00EE2E53"/>
    <w:rsid w:val="00EE31BE"/>
    <w:rsid w:val="00EE3479"/>
    <w:rsid w:val="00EE38EF"/>
    <w:rsid w:val="00EE50A9"/>
    <w:rsid w:val="00EE5C22"/>
    <w:rsid w:val="00EF00D1"/>
    <w:rsid w:val="00EF05ED"/>
    <w:rsid w:val="00EF707F"/>
    <w:rsid w:val="00EF7274"/>
    <w:rsid w:val="00F007BA"/>
    <w:rsid w:val="00F0214C"/>
    <w:rsid w:val="00F032CA"/>
    <w:rsid w:val="00F03C3C"/>
    <w:rsid w:val="00F03C85"/>
    <w:rsid w:val="00F04BCC"/>
    <w:rsid w:val="00F0533F"/>
    <w:rsid w:val="00F06F76"/>
    <w:rsid w:val="00F07EE5"/>
    <w:rsid w:val="00F106D1"/>
    <w:rsid w:val="00F15367"/>
    <w:rsid w:val="00F16E16"/>
    <w:rsid w:val="00F20887"/>
    <w:rsid w:val="00F21D00"/>
    <w:rsid w:val="00F21FA5"/>
    <w:rsid w:val="00F21FF4"/>
    <w:rsid w:val="00F227E8"/>
    <w:rsid w:val="00F22C8B"/>
    <w:rsid w:val="00F22F7A"/>
    <w:rsid w:val="00F235C6"/>
    <w:rsid w:val="00F23A22"/>
    <w:rsid w:val="00F264FF"/>
    <w:rsid w:val="00F2657D"/>
    <w:rsid w:val="00F30AA3"/>
    <w:rsid w:val="00F30E9F"/>
    <w:rsid w:val="00F311E1"/>
    <w:rsid w:val="00F31488"/>
    <w:rsid w:val="00F31988"/>
    <w:rsid w:val="00F32163"/>
    <w:rsid w:val="00F32C31"/>
    <w:rsid w:val="00F34B2A"/>
    <w:rsid w:val="00F35A0B"/>
    <w:rsid w:val="00F36A5A"/>
    <w:rsid w:val="00F3784A"/>
    <w:rsid w:val="00F37977"/>
    <w:rsid w:val="00F40CB7"/>
    <w:rsid w:val="00F424D3"/>
    <w:rsid w:val="00F426A4"/>
    <w:rsid w:val="00F42BB4"/>
    <w:rsid w:val="00F45176"/>
    <w:rsid w:val="00F45221"/>
    <w:rsid w:val="00F45A83"/>
    <w:rsid w:val="00F46016"/>
    <w:rsid w:val="00F46720"/>
    <w:rsid w:val="00F50583"/>
    <w:rsid w:val="00F5115D"/>
    <w:rsid w:val="00F5238E"/>
    <w:rsid w:val="00F52851"/>
    <w:rsid w:val="00F5324F"/>
    <w:rsid w:val="00F54F56"/>
    <w:rsid w:val="00F56D94"/>
    <w:rsid w:val="00F57799"/>
    <w:rsid w:val="00F6100B"/>
    <w:rsid w:val="00F621ED"/>
    <w:rsid w:val="00F625D9"/>
    <w:rsid w:val="00F63F62"/>
    <w:rsid w:val="00F64213"/>
    <w:rsid w:val="00F64414"/>
    <w:rsid w:val="00F64ABD"/>
    <w:rsid w:val="00F64C9A"/>
    <w:rsid w:val="00F70E1B"/>
    <w:rsid w:val="00F71A0A"/>
    <w:rsid w:val="00F71FE4"/>
    <w:rsid w:val="00F76914"/>
    <w:rsid w:val="00F772F7"/>
    <w:rsid w:val="00F80CCF"/>
    <w:rsid w:val="00F82EE6"/>
    <w:rsid w:val="00F8305B"/>
    <w:rsid w:val="00F830BF"/>
    <w:rsid w:val="00F838E5"/>
    <w:rsid w:val="00F84AA2"/>
    <w:rsid w:val="00F859C5"/>
    <w:rsid w:val="00F921EC"/>
    <w:rsid w:val="00F93102"/>
    <w:rsid w:val="00F93E8B"/>
    <w:rsid w:val="00F96656"/>
    <w:rsid w:val="00F97BCA"/>
    <w:rsid w:val="00F97C2D"/>
    <w:rsid w:val="00FA078E"/>
    <w:rsid w:val="00FA2469"/>
    <w:rsid w:val="00FA3329"/>
    <w:rsid w:val="00FA5861"/>
    <w:rsid w:val="00FA6DE6"/>
    <w:rsid w:val="00FA7DF0"/>
    <w:rsid w:val="00FB0A8A"/>
    <w:rsid w:val="00FB1F8D"/>
    <w:rsid w:val="00FB2150"/>
    <w:rsid w:val="00FB415F"/>
    <w:rsid w:val="00FB46B2"/>
    <w:rsid w:val="00FB48CD"/>
    <w:rsid w:val="00FB529E"/>
    <w:rsid w:val="00FB70AB"/>
    <w:rsid w:val="00FB7243"/>
    <w:rsid w:val="00FB7804"/>
    <w:rsid w:val="00FC0635"/>
    <w:rsid w:val="00FC07AF"/>
    <w:rsid w:val="00FC0AF8"/>
    <w:rsid w:val="00FC5E2F"/>
    <w:rsid w:val="00FC6473"/>
    <w:rsid w:val="00FC6EEC"/>
    <w:rsid w:val="00FD0BC6"/>
    <w:rsid w:val="00FD183B"/>
    <w:rsid w:val="00FD259A"/>
    <w:rsid w:val="00FD2AA0"/>
    <w:rsid w:val="00FD2F07"/>
    <w:rsid w:val="00FD37E3"/>
    <w:rsid w:val="00FD485E"/>
    <w:rsid w:val="00FD5A5F"/>
    <w:rsid w:val="00FD64DA"/>
    <w:rsid w:val="00FD66D8"/>
    <w:rsid w:val="00FE1AD7"/>
    <w:rsid w:val="00FE2D56"/>
    <w:rsid w:val="00FE6217"/>
    <w:rsid w:val="00FE698C"/>
    <w:rsid w:val="00FF0E5F"/>
    <w:rsid w:val="00FF1B64"/>
    <w:rsid w:val="00FF1C96"/>
    <w:rsid w:val="00FF3390"/>
    <w:rsid w:val="00FF546C"/>
    <w:rsid w:val="00FF5AC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A70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3D28"/>
    <w:rPr>
      <w:rFonts w:ascii="Times New Roman" w:eastAsia="SimSun" w:hAnsi="Times New Roman" w:cs="Times New Roman"/>
      <w:lang w:eastAsia="zh-CN"/>
    </w:rPr>
  </w:style>
  <w:style w:type="paragraph" w:styleId="Heading1">
    <w:name w:val="heading 1"/>
    <w:basedOn w:val="Normal"/>
    <w:next w:val="Normal"/>
    <w:link w:val="Heading1Char"/>
    <w:uiPriority w:val="99"/>
    <w:qFormat/>
    <w:rsid w:val="005E03DA"/>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semiHidden/>
    <w:unhideWhenUsed/>
    <w:qFormat/>
    <w:rsid w:val="005E03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5E03D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5E03DA"/>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5E03DA"/>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5E03DA"/>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5E03DA"/>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E03DA"/>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E03D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5E03DA"/>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semiHidden/>
    <w:rsid w:val="005E03D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5E03D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5E03D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5E03D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5E03D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5E03D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E03D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E03DA"/>
    <w:rPr>
      <w:rFonts w:asciiTheme="majorHAnsi" w:eastAsiaTheme="majorEastAsia" w:hAnsiTheme="majorHAnsi" w:cstheme="majorBidi"/>
      <w:i/>
      <w:iCs/>
      <w:color w:val="404040" w:themeColor="text1" w:themeTint="BF"/>
      <w:sz w:val="20"/>
      <w:szCs w:val="20"/>
    </w:rPr>
  </w:style>
  <w:style w:type="numbering" w:customStyle="1" w:styleId="VS1-">
    <w:name w:val="VS 1-"/>
    <w:uiPriority w:val="99"/>
    <w:rsid w:val="006E0B32"/>
    <w:pPr>
      <w:numPr>
        <w:numId w:val="3"/>
      </w:numPr>
    </w:pPr>
  </w:style>
  <w:style w:type="paragraph" w:styleId="Title">
    <w:name w:val="Title"/>
    <w:basedOn w:val="Normal"/>
    <w:next w:val="BodyText"/>
    <w:link w:val="TitleChar"/>
    <w:qFormat/>
    <w:rsid w:val="00663D28"/>
    <w:pPr>
      <w:spacing w:before="240" w:after="120"/>
      <w:jc w:val="center"/>
      <w:outlineLvl w:val="0"/>
    </w:pPr>
    <w:rPr>
      <w:rFonts w:cs="Arial"/>
      <w:b/>
      <w:bCs/>
      <w:caps/>
      <w:kern w:val="28"/>
      <w:szCs w:val="32"/>
      <w:u w:val="single"/>
    </w:rPr>
  </w:style>
  <w:style w:type="character" w:customStyle="1" w:styleId="TitleChar">
    <w:name w:val="Title Char"/>
    <w:basedOn w:val="DefaultParagraphFont"/>
    <w:link w:val="Title"/>
    <w:rsid w:val="00663D28"/>
    <w:rPr>
      <w:rFonts w:ascii="Times New Roman" w:eastAsia="SimSun" w:hAnsi="Times New Roman" w:cs="Arial"/>
      <w:b/>
      <w:bCs/>
      <w:caps/>
      <w:kern w:val="28"/>
      <w:szCs w:val="32"/>
      <w:u w:val="single"/>
      <w:lang w:eastAsia="zh-CN"/>
    </w:rPr>
  </w:style>
  <w:style w:type="paragraph" w:styleId="ListParagraph">
    <w:name w:val="List Paragraph"/>
    <w:basedOn w:val="Normal"/>
    <w:link w:val="ListParagraphChar"/>
    <w:uiPriority w:val="34"/>
    <w:qFormat/>
    <w:rsid w:val="00663D28"/>
    <w:pPr>
      <w:ind w:left="720"/>
      <w:contextualSpacing/>
    </w:pPr>
  </w:style>
  <w:style w:type="character" w:customStyle="1" w:styleId="ListParagraphChar">
    <w:name w:val="List Paragraph Char"/>
    <w:basedOn w:val="DefaultParagraphFont"/>
    <w:link w:val="ListParagraph"/>
    <w:uiPriority w:val="34"/>
    <w:rsid w:val="00663D28"/>
    <w:rPr>
      <w:rFonts w:ascii="Times New Roman" w:eastAsia="SimSun" w:hAnsi="Times New Roman" w:cs="Times New Roman"/>
      <w:lang w:eastAsia="zh-CN"/>
    </w:rPr>
  </w:style>
  <w:style w:type="paragraph" w:customStyle="1" w:styleId="OutlineL1">
    <w:name w:val="Outline_L1"/>
    <w:basedOn w:val="Normal"/>
    <w:next w:val="BodyText"/>
    <w:link w:val="OutlineL1Char"/>
    <w:rsid w:val="00663D28"/>
    <w:pPr>
      <w:spacing w:after="360"/>
      <w:jc w:val="center"/>
      <w:outlineLvl w:val="0"/>
    </w:pPr>
    <w:rPr>
      <w:rFonts w:eastAsia="Times New Roman"/>
      <w:b/>
      <w:szCs w:val="20"/>
      <w:u w:val="single"/>
    </w:rPr>
  </w:style>
  <w:style w:type="character" w:customStyle="1" w:styleId="OutlineL1Char">
    <w:name w:val="Outline_L1 Char"/>
    <w:basedOn w:val="ListParagraphChar"/>
    <w:link w:val="OutlineL1"/>
    <w:rsid w:val="00663D28"/>
    <w:rPr>
      <w:rFonts w:ascii="Times New Roman" w:eastAsia="Times New Roman" w:hAnsi="Times New Roman" w:cs="Times New Roman"/>
      <w:b/>
      <w:szCs w:val="20"/>
      <w:u w:val="single"/>
      <w:lang w:eastAsia="zh-CN"/>
    </w:rPr>
  </w:style>
  <w:style w:type="paragraph" w:customStyle="1" w:styleId="OutlineL2">
    <w:name w:val="Outline_L2"/>
    <w:basedOn w:val="OutlineL1"/>
    <w:next w:val="BodyText"/>
    <w:rsid w:val="00663D28"/>
    <w:pPr>
      <w:numPr>
        <w:ilvl w:val="1"/>
      </w:numPr>
      <w:tabs>
        <w:tab w:val="num" w:pos="360"/>
      </w:tabs>
      <w:jc w:val="left"/>
      <w:outlineLvl w:val="1"/>
    </w:pPr>
  </w:style>
  <w:style w:type="paragraph" w:customStyle="1" w:styleId="OutlineL3">
    <w:name w:val="Outline_L3"/>
    <w:basedOn w:val="OutlineL2"/>
    <w:next w:val="BodyText"/>
    <w:rsid w:val="00663D28"/>
    <w:pPr>
      <w:numPr>
        <w:ilvl w:val="2"/>
      </w:numPr>
      <w:tabs>
        <w:tab w:val="num" w:pos="360"/>
      </w:tabs>
      <w:outlineLvl w:val="2"/>
    </w:pPr>
  </w:style>
  <w:style w:type="paragraph" w:customStyle="1" w:styleId="OutlineL4">
    <w:name w:val="Outline_L4"/>
    <w:basedOn w:val="OutlineL3"/>
    <w:next w:val="BodyText"/>
    <w:rsid w:val="00663D28"/>
    <w:pPr>
      <w:numPr>
        <w:ilvl w:val="3"/>
      </w:numPr>
      <w:tabs>
        <w:tab w:val="num" w:pos="360"/>
      </w:tabs>
      <w:outlineLvl w:val="3"/>
    </w:pPr>
  </w:style>
  <w:style w:type="paragraph" w:customStyle="1" w:styleId="OutlineL5">
    <w:name w:val="Outline_L5"/>
    <w:basedOn w:val="OutlineL4"/>
    <w:next w:val="BodyText"/>
    <w:rsid w:val="00663D28"/>
    <w:pPr>
      <w:numPr>
        <w:ilvl w:val="4"/>
      </w:numPr>
      <w:tabs>
        <w:tab w:val="num" w:pos="360"/>
      </w:tabs>
      <w:outlineLvl w:val="4"/>
    </w:pPr>
  </w:style>
  <w:style w:type="paragraph" w:customStyle="1" w:styleId="OutlineL6">
    <w:name w:val="Outline_L6"/>
    <w:basedOn w:val="OutlineL5"/>
    <w:next w:val="BodyText"/>
    <w:rsid w:val="00663D28"/>
    <w:pPr>
      <w:numPr>
        <w:ilvl w:val="5"/>
      </w:numPr>
      <w:tabs>
        <w:tab w:val="num" w:pos="360"/>
      </w:tabs>
      <w:outlineLvl w:val="5"/>
    </w:pPr>
  </w:style>
  <w:style w:type="paragraph" w:customStyle="1" w:styleId="OutlineL7">
    <w:name w:val="Outline_L7"/>
    <w:basedOn w:val="OutlineL6"/>
    <w:next w:val="BodyText"/>
    <w:rsid w:val="00663D28"/>
    <w:pPr>
      <w:numPr>
        <w:ilvl w:val="6"/>
      </w:numPr>
      <w:tabs>
        <w:tab w:val="num" w:pos="360"/>
      </w:tabs>
      <w:outlineLvl w:val="6"/>
    </w:pPr>
  </w:style>
  <w:style w:type="paragraph" w:customStyle="1" w:styleId="OutlineL8">
    <w:name w:val="Outline_L8"/>
    <w:basedOn w:val="OutlineL7"/>
    <w:next w:val="BodyText"/>
    <w:rsid w:val="00663D28"/>
    <w:pPr>
      <w:numPr>
        <w:ilvl w:val="7"/>
      </w:numPr>
      <w:tabs>
        <w:tab w:val="num" w:pos="360"/>
      </w:tabs>
      <w:outlineLvl w:val="7"/>
    </w:pPr>
  </w:style>
  <w:style w:type="paragraph" w:customStyle="1" w:styleId="OutlineL9">
    <w:name w:val="Outline_L9"/>
    <w:basedOn w:val="OutlineL8"/>
    <w:next w:val="BodyText"/>
    <w:rsid w:val="00663D28"/>
    <w:pPr>
      <w:numPr>
        <w:ilvl w:val="8"/>
      </w:numPr>
      <w:tabs>
        <w:tab w:val="num" w:pos="360"/>
      </w:tabs>
      <w:outlineLvl w:val="8"/>
    </w:pPr>
  </w:style>
  <w:style w:type="paragraph" w:styleId="BodyText">
    <w:name w:val="Body Text"/>
    <w:basedOn w:val="Normal"/>
    <w:link w:val="BodyTextChar"/>
    <w:uiPriority w:val="99"/>
    <w:unhideWhenUsed/>
    <w:rsid w:val="00663D28"/>
    <w:pPr>
      <w:spacing w:after="120"/>
    </w:pPr>
  </w:style>
  <w:style w:type="character" w:customStyle="1" w:styleId="BodyTextChar">
    <w:name w:val="Body Text Char"/>
    <w:basedOn w:val="DefaultParagraphFont"/>
    <w:link w:val="BodyText"/>
    <w:uiPriority w:val="99"/>
    <w:rsid w:val="00663D28"/>
    <w:rPr>
      <w:rFonts w:ascii="Times New Roman" w:eastAsia="SimSun" w:hAnsi="Times New Roman" w:cs="Times New Roman"/>
      <w:lang w:eastAsia="zh-CN"/>
    </w:rPr>
  </w:style>
  <w:style w:type="paragraph" w:styleId="NormalWeb">
    <w:name w:val="Normal (Web)"/>
    <w:basedOn w:val="Normal"/>
    <w:uiPriority w:val="99"/>
    <w:rsid w:val="00663D28"/>
    <w:pPr>
      <w:spacing w:before="100" w:beforeAutospacing="1" w:after="100" w:afterAutospacing="1"/>
    </w:pPr>
    <w:rPr>
      <w:lang w:eastAsia="en-US"/>
    </w:rPr>
  </w:style>
  <w:style w:type="paragraph" w:styleId="BodyText2">
    <w:name w:val="Body Text 2"/>
    <w:basedOn w:val="Normal"/>
    <w:link w:val="BodyText2Char"/>
    <w:uiPriority w:val="99"/>
    <w:unhideWhenUsed/>
    <w:rsid w:val="00663D28"/>
    <w:pPr>
      <w:spacing w:after="120" w:line="480" w:lineRule="auto"/>
    </w:pPr>
  </w:style>
  <w:style w:type="character" w:customStyle="1" w:styleId="BodyText2Char">
    <w:name w:val="Body Text 2 Char"/>
    <w:basedOn w:val="DefaultParagraphFont"/>
    <w:link w:val="BodyText2"/>
    <w:uiPriority w:val="99"/>
    <w:rsid w:val="00663D28"/>
    <w:rPr>
      <w:rFonts w:ascii="Times New Roman" w:eastAsia="SimSun" w:hAnsi="Times New Roman" w:cs="Times New Roman"/>
      <w:lang w:eastAsia="zh-CN"/>
    </w:rPr>
  </w:style>
  <w:style w:type="character" w:styleId="LineNumber">
    <w:name w:val="line number"/>
    <w:basedOn w:val="DefaultParagraphFont"/>
    <w:uiPriority w:val="99"/>
    <w:unhideWhenUsed/>
    <w:rsid w:val="00186FE6"/>
  </w:style>
  <w:style w:type="paragraph" w:styleId="FootnoteText">
    <w:name w:val="footnote text"/>
    <w:aliases w:val="Footnote Text Char1 Char,Footnote Text Char Char Char,Footnote Text Char1 Char Char Char,Footnote Text Char Char Char Char Char,Footnote Text Char Char1 Char,Footnote Text Char1 Char1 Char,Footnote Text Char1,Footnote Text Char Char,fn"/>
    <w:basedOn w:val="Normal"/>
    <w:link w:val="FootnoteTextChar"/>
    <w:uiPriority w:val="99"/>
    <w:unhideWhenUsed/>
    <w:rsid w:val="005A6124"/>
  </w:style>
  <w:style w:type="character" w:customStyle="1" w:styleId="FootnoteTextChar">
    <w:name w:val="Footnote Text Char"/>
    <w:aliases w:val="Footnote Text Char1 Char Char,Footnote Text Char Char Char Char,Footnote Text Char1 Char Char Char Char,Footnote Text Char Char Char Char Char Char,Footnote Text Char Char1 Char Char,Footnote Text Char1 Char1 Char Char,fn Char"/>
    <w:basedOn w:val="DefaultParagraphFont"/>
    <w:link w:val="FootnoteText"/>
    <w:uiPriority w:val="99"/>
    <w:rsid w:val="005A6124"/>
    <w:rPr>
      <w:rFonts w:ascii="Times New Roman" w:eastAsia="SimSun" w:hAnsi="Times New Roman" w:cs="Times New Roman"/>
      <w:lang w:eastAsia="zh-CN"/>
    </w:rPr>
  </w:style>
  <w:style w:type="character" w:styleId="FootnoteReference">
    <w:name w:val="footnote reference"/>
    <w:aliases w:val="o"/>
    <w:basedOn w:val="DefaultParagraphFont"/>
    <w:uiPriority w:val="99"/>
    <w:unhideWhenUsed/>
    <w:rsid w:val="005A6124"/>
    <w:rPr>
      <w:vertAlign w:val="superscript"/>
    </w:rPr>
  </w:style>
  <w:style w:type="paragraph" w:styleId="Footer">
    <w:name w:val="footer"/>
    <w:basedOn w:val="Normal"/>
    <w:link w:val="FooterChar"/>
    <w:uiPriority w:val="99"/>
    <w:unhideWhenUsed/>
    <w:rsid w:val="00EF707F"/>
    <w:pPr>
      <w:tabs>
        <w:tab w:val="center" w:pos="4320"/>
        <w:tab w:val="right" w:pos="8640"/>
      </w:tabs>
    </w:pPr>
  </w:style>
  <w:style w:type="character" w:customStyle="1" w:styleId="FooterChar">
    <w:name w:val="Footer Char"/>
    <w:basedOn w:val="DefaultParagraphFont"/>
    <w:link w:val="Footer"/>
    <w:uiPriority w:val="99"/>
    <w:rsid w:val="00EF707F"/>
    <w:rPr>
      <w:rFonts w:ascii="Times New Roman" w:eastAsia="SimSun" w:hAnsi="Times New Roman" w:cs="Times New Roman"/>
      <w:lang w:eastAsia="zh-CN"/>
    </w:rPr>
  </w:style>
  <w:style w:type="character" w:styleId="PageNumber">
    <w:name w:val="page number"/>
    <w:basedOn w:val="DefaultParagraphFont"/>
    <w:uiPriority w:val="99"/>
    <w:semiHidden/>
    <w:unhideWhenUsed/>
    <w:rsid w:val="00EF707F"/>
  </w:style>
  <w:style w:type="character" w:styleId="Hyperlink">
    <w:name w:val="Hyperlink"/>
    <w:basedOn w:val="DefaultParagraphFont"/>
    <w:uiPriority w:val="99"/>
    <w:unhideWhenUsed/>
    <w:rsid w:val="006C16B6"/>
    <w:rPr>
      <w:color w:val="0000FF"/>
      <w:u w:val="single"/>
    </w:rPr>
  </w:style>
  <w:style w:type="paragraph" w:customStyle="1" w:styleId="Normal1">
    <w:name w:val="Normal1"/>
    <w:rsid w:val="00CE51C2"/>
    <w:pPr>
      <w:spacing w:line="276" w:lineRule="auto"/>
    </w:pPr>
    <w:rPr>
      <w:rFonts w:ascii="Arial" w:eastAsia="Arial" w:hAnsi="Arial" w:cs="Arial"/>
      <w:sz w:val="22"/>
      <w:szCs w:val="22"/>
      <w:lang w:val="en"/>
    </w:rPr>
  </w:style>
  <w:style w:type="character" w:styleId="CommentReference">
    <w:name w:val="annotation reference"/>
    <w:basedOn w:val="DefaultParagraphFont"/>
    <w:uiPriority w:val="99"/>
    <w:semiHidden/>
    <w:unhideWhenUsed/>
    <w:rsid w:val="00BC0869"/>
    <w:rPr>
      <w:sz w:val="16"/>
      <w:szCs w:val="16"/>
    </w:rPr>
  </w:style>
  <w:style w:type="paragraph" w:styleId="CommentText">
    <w:name w:val="annotation text"/>
    <w:basedOn w:val="Normal"/>
    <w:link w:val="CommentTextChar"/>
    <w:uiPriority w:val="99"/>
    <w:unhideWhenUsed/>
    <w:rsid w:val="00BC0869"/>
    <w:rPr>
      <w:sz w:val="20"/>
      <w:szCs w:val="20"/>
    </w:rPr>
  </w:style>
  <w:style w:type="character" w:customStyle="1" w:styleId="CommentTextChar">
    <w:name w:val="Comment Text Char"/>
    <w:basedOn w:val="DefaultParagraphFont"/>
    <w:link w:val="CommentText"/>
    <w:uiPriority w:val="99"/>
    <w:rsid w:val="00BC0869"/>
    <w:rPr>
      <w:rFonts w:ascii="Times New Roman" w:eastAsia="SimSun" w:hAnsi="Times New Roman" w:cs="Times New Roman"/>
      <w:sz w:val="20"/>
      <w:szCs w:val="20"/>
      <w:lang w:eastAsia="zh-CN"/>
    </w:rPr>
  </w:style>
  <w:style w:type="paragraph" w:styleId="CommentSubject">
    <w:name w:val="annotation subject"/>
    <w:basedOn w:val="CommentText"/>
    <w:next w:val="CommentText"/>
    <w:link w:val="CommentSubjectChar"/>
    <w:uiPriority w:val="99"/>
    <w:semiHidden/>
    <w:unhideWhenUsed/>
    <w:rsid w:val="00BC0869"/>
    <w:rPr>
      <w:b/>
      <w:bCs/>
    </w:rPr>
  </w:style>
  <w:style w:type="character" w:customStyle="1" w:styleId="CommentSubjectChar">
    <w:name w:val="Comment Subject Char"/>
    <w:basedOn w:val="CommentTextChar"/>
    <w:link w:val="CommentSubject"/>
    <w:uiPriority w:val="99"/>
    <w:semiHidden/>
    <w:rsid w:val="00BC0869"/>
    <w:rPr>
      <w:rFonts w:ascii="Times New Roman" w:eastAsia="SimSun" w:hAnsi="Times New Roman" w:cs="Times New Roman"/>
      <w:b/>
      <w:bCs/>
      <w:sz w:val="20"/>
      <w:szCs w:val="20"/>
      <w:lang w:eastAsia="zh-CN"/>
    </w:rPr>
  </w:style>
  <w:style w:type="paragraph" w:styleId="BalloonText">
    <w:name w:val="Balloon Text"/>
    <w:basedOn w:val="Normal"/>
    <w:link w:val="BalloonTextChar"/>
    <w:uiPriority w:val="99"/>
    <w:semiHidden/>
    <w:unhideWhenUsed/>
    <w:rsid w:val="00BC08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0869"/>
    <w:rPr>
      <w:rFonts w:ascii="Segoe UI" w:eastAsia="SimSun" w:hAnsi="Segoe UI" w:cs="Segoe UI"/>
      <w:sz w:val="18"/>
      <w:szCs w:val="18"/>
      <w:lang w:eastAsia="zh-CN"/>
    </w:rPr>
  </w:style>
  <w:style w:type="paragraph" w:styleId="Revision">
    <w:name w:val="Revision"/>
    <w:hidden/>
    <w:uiPriority w:val="99"/>
    <w:semiHidden/>
    <w:rsid w:val="00EB432B"/>
    <w:rPr>
      <w:rFonts w:ascii="Times New Roman" w:eastAsia="SimSun" w:hAnsi="Times New Roman" w:cs="Times New Roman"/>
      <w:lang w:eastAsia="zh-CN"/>
    </w:rPr>
  </w:style>
  <w:style w:type="paragraph" w:styleId="BodyTextIndent2">
    <w:name w:val="Body Text Indent 2"/>
    <w:basedOn w:val="Normal"/>
    <w:link w:val="BodyTextIndent2Char"/>
    <w:uiPriority w:val="99"/>
    <w:unhideWhenUsed/>
    <w:rsid w:val="00A24827"/>
    <w:pPr>
      <w:spacing w:after="120" w:line="480" w:lineRule="auto"/>
      <w:ind w:left="360"/>
    </w:pPr>
  </w:style>
  <w:style w:type="character" w:customStyle="1" w:styleId="BodyTextIndent2Char">
    <w:name w:val="Body Text Indent 2 Char"/>
    <w:basedOn w:val="DefaultParagraphFont"/>
    <w:link w:val="BodyTextIndent2"/>
    <w:uiPriority w:val="99"/>
    <w:rsid w:val="00A24827"/>
    <w:rPr>
      <w:rFonts w:ascii="Times New Roman" w:eastAsia="SimSun" w:hAnsi="Times New Roman" w:cs="Times New Roman"/>
      <w:lang w:eastAsia="zh-CN"/>
    </w:rPr>
  </w:style>
  <w:style w:type="character" w:customStyle="1" w:styleId="il">
    <w:name w:val="il"/>
    <w:basedOn w:val="DefaultParagraphFont"/>
    <w:rsid w:val="00981A61"/>
  </w:style>
  <w:style w:type="character" w:customStyle="1" w:styleId="m-5853245803911048447gmail-msofootnotereference">
    <w:name w:val="m_-5853245803911048447gmail-msofootnotereference"/>
    <w:basedOn w:val="DefaultParagraphFont"/>
    <w:rsid w:val="00981A61"/>
  </w:style>
  <w:style w:type="paragraph" w:customStyle="1" w:styleId="m-5853245803911048447gmail-msolistparagraph">
    <w:name w:val="m_-5853245803911048447gmail-msolistparagraph"/>
    <w:basedOn w:val="Normal"/>
    <w:rsid w:val="00981A61"/>
    <w:pPr>
      <w:spacing w:before="100" w:beforeAutospacing="1" w:after="100" w:afterAutospacing="1"/>
    </w:pPr>
    <w:rPr>
      <w:rFonts w:eastAsia="Times New Roman"/>
      <w:lang w:eastAsia="en-US"/>
    </w:rPr>
  </w:style>
  <w:style w:type="character" w:styleId="FollowedHyperlink">
    <w:name w:val="FollowedHyperlink"/>
    <w:basedOn w:val="DefaultParagraphFont"/>
    <w:uiPriority w:val="99"/>
    <w:semiHidden/>
    <w:unhideWhenUsed/>
    <w:rsid w:val="00981A61"/>
    <w:rPr>
      <w:color w:val="800080" w:themeColor="followedHyperlink"/>
      <w:u w:val="single"/>
    </w:rPr>
  </w:style>
  <w:style w:type="character" w:customStyle="1" w:styleId="UnresolvedMention1">
    <w:name w:val="Unresolved Mention1"/>
    <w:basedOn w:val="DefaultParagraphFont"/>
    <w:uiPriority w:val="99"/>
    <w:semiHidden/>
    <w:unhideWhenUsed/>
    <w:rsid w:val="00981A61"/>
    <w:rPr>
      <w:color w:val="605E5C"/>
      <w:shd w:val="clear" w:color="auto" w:fill="E1DFDD"/>
    </w:rPr>
  </w:style>
  <w:style w:type="paragraph" w:styleId="BodyTextIndent">
    <w:name w:val="Body Text Indent"/>
    <w:basedOn w:val="Normal"/>
    <w:link w:val="BodyTextIndentChar"/>
    <w:unhideWhenUsed/>
    <w:rsid w:val="00981A61"/>
    <w:pPr>
      <w:spacing w:after="120"/>
      <w:ind w:left="360"/>
    </w:pPr>
  </w:style>
  <w:style w:type="character" w:customStyle="1" w:styleId="BodyTextIndentChar">
    <w:name w:val="Body Text Indent Char"/>
    <w:basedOn w:val="DefaultParagraphFont"/>
    <w:link w:val="BodyTextIndent"/>
    <w:rsid w:val="00981A61"/>
    <w:rPr>
      <w:rFonts w:ascii="Times New Roman" w:eastAsia="SimSun" w:hAnsi="Times New Roman" w:cs="Times New Roman"/>
      <w:lang w:eastAsia="zh-CN"/>
    </w:rPr>
  </w:style>
  <w:style w:type="paragraph" w:styleId="Header">
    <w:name w:val="header"/>
    <w:basedOn w:val="Normal"/>
    <w:link w:val="HeaderChar"/>
    <w:uiPriority w:val="99"/>
    <w:unhideWhenUsed/>
    <w:rsid w:val="00A63F10"/>
    <w:pPr>
      <w:tabs>
        <w:tab w:val="center" w:pos="4680"/>
        <w:tab w:val="right" w:pos="9360"/>
      </w:tabs>
    </w:pPr>
  </w:style>
  <w:style w:type="character" w:customStyle="1" w:styleId="HeaderChar">
    <w:name w:val="Header Char"/>
    <w:basedOn w:val="DefaultParagraphFont"/>
    <w:link w:val="Header"/>
    <w:uiPriority w:val="99"/>
    <w:rsid w:val="00A63F10"/>
    <w:rPr>
      <w:rFonts w:ascii="Times New Roman" w:eastAsia="SimSun" w:hAnsi="Times New Roman" w:cs="Times New Roman"/>
      <w:lang w:eastAsia="zh-CN"/>
    </w:rPr>
  </w:style>
  <w:style w:type="character" w:customStyle="1" w:styleId="UnresolvedMention2">
    <w:name w:val="Unresolved Mention2"/>
    <w:basedOn w:val="DefaultParagraphFont"/>
    <w:uiPriority w:val="99"/>
    <w:semiHidden/>
    <w:unhideWhenUsed/>
    <w:rsid w:val="008D2E02"/>
    <w:rPr>
      <w:color w:val="605E5C"/>
      <w:shd w:val="clear" w:color="auto" w:fill="E1DFDD"/>
    </w:rPr>
  </w:style>
  <w:style w:type="paragraph" w:styleId="TOC1">
    <w:name w:val="toc 1"/>
    <w:basedOn w:val="Normal"/>
    <w:next w:val="Normal"/>
    <w:autoRedefine/>
    <w:uiPriority w:val="39"/>
    <w:unhideWhenUsed/>
    <w:rsid w:val="00605F85"/>
    <w:pPr>
      <w:tabs>
        <w:tab w:val="left" w:pos="630"/>
        <w:tab w:val="right" w:pos="9350"/>
      </w:tabs>
      <w:spacing w:before="360" w:line="360" w:lineRule="auto"/>
      <w:ind w:left="630" w:hanging="630"/>
    </w:pPr>
    <w:rPr>
      <w:rFonts w:asciiTheme="majorHAnsi" w:hAnsiTheme="majorHAnsi" w:cstheme="majorHAnsi"/>
      <w:b/>
      <w:bCs/>
      <w:caps/>
    </w:rPr>
  </w:style>
  <w:style w:type="paragraph" w:styleId="TOCHeading">
    <w:name w:val="TOC Heading"/>
    <w:basedOn w:val="Heading1"/>
    <w:next w:val="Normal"/>
    <w:uiPriority w:val="39"/>
    <w:unhideWhenUsed/>
    <w:qFormat/>
    <w:rsid w:val="00B73C45"/>
    <w:pPr>
      <w:spacing w:line="276" w:lineRule="auto"/>
      <w:outlineLvl w:val="9"/>
    </w:pPr>
    <w:rPr>
      <w:color w:val="365F91" w:themeColor="accent1" w:themeShade="BF"/>
      <w:sz w:val="28"/>
      <w:szCs w:val="28"/>
      <w:lang w:eastAsia="ja-JP"/>
    </w:rPr>
  </w:style>
  <w:style w:type="paragraph" w:styleId="TOC2">
    <w:name w:val="toc 2"/>
    <w:basedOn w:val="Normal"/>
    <w:next w:val="Normal"/>
    <w:autoRedefine/>
    <w:uiPriority w:val="39"/>
    <w:unhideWhenUsed/>
    <w:rsid w:val="00B73C45"/>
    <w:pPr>
      <w:spacing w:before="240"/>
    </w:pPr>
    <w:rPr>
      <w:rFonts w:asciiTheme="minorHAnsi" w:hAnsiTheme="minorHAnsi"/>
      <w:b/>
      <w:bCs/>
      <w:sz w:val="20"/>
      <w:szCs w:val="20"/>
    </w:rPr>
  </w:style>
  <w:style w:type="paragraph" w:styleId="TOC3">
    <w:name w:val="toc 3"/>
    <w:basedOn w:val="Normal"/>
    <w:next w:val="Normal"/>
    <w:autoRedefine/>
    <w:uiPriority w:val="39"/>
    <w:unhideWhenUsed/>
    <w:rsid w:val="00B73C45"/>
    <w:pPr>
      <w:ind w:left="240"/>
    </w:pPr>
    <w:rPr>
      <w:rFonts w:asciiTheme="minorHAnsi" w:hAnsiTheme="minorHAnsi"/>
      <w:sz w:val="20"/>
      <w:szCs w:val="20"/>
    </w:rPr>
  </w:style>
  <w:style w:type="paragraph" w:styleId="TOC4">
    <w:name w:val="toc 4"/>
    <w:basedOn w:val="Normal"/>
    <w:next w:val="Normal"/>
    <w:autoRedefine/>
    <w:uiPriority w:val="39"/>
    <w:unhideWhenUsed/>
    <w:rsid w:val="00B73C45"/>
    <w:pPr>
      <w:ind w:left="480"/>
    </w:pPr>
    <w:rPr>
      <w:rFonts w:asciiTheme="minorHAnsi" w:hAnsiTheme="minorHAnsi"/>
      <w:sz w:val="20"/>
      <w:szCs w:val="20"/>
    </w:rPr>
  </w:style>
  <w:style w:type="paragraph" w:styleId="TOC5">
    <w:name w:val="toc 5"/>
    <w:basedOn w:val="Normal"/>
    <w:next w:val="Normal"/>
    <w:autoRedefine/>
    <w:uiPriority w:val="39"/>
    <w:unhideWhenUsed/>
    <w:rsid w:val="00B73C45"/>
    <w:pPr>
      <w:ind w:left="720"/>
    </w:pPr>
    <w:rPr>
      <w:rFonts w:asciiTheme="minorHAnsi" w:hAnsiTheme="minorHAnsi"/>
      <w:sz w:val="20"/>
      <w:szCs w:val="20"/>
    </w:rPr>
  </w:style>
  <w:style w:type="paragraph" w:styleId="TOC6">
    <w:name w:val="toc 6"/>
    <w:basedOn w:val="Normal"/>
    <w:next w:val="Normal"/>
    <w:autoRedefine/>
    <w:uiPriority w:val="39"/>
    <w:unhideWhenUsed/>
    <w:rsid w:val="00B73C45"/>
    <w:pPr>
      <w:ind w:left="960"/>
    </w:pPr>
    <w:rPr>
      <w:rFonts w:asciiTheme="minorHAnsi" w:hAnsiTheme="minorHAnsi"/>
      <w:sz w:val="20"/>
      <w:szCs w:val="20"/>
    </w:rPr>
  </w:style>
  <w:style w:type="paragraph" w:styleId="TOC7">
    <w:name w:val="toc 7"/>
    <w:basedOn w:val="Normal"/>
    <w:next w:val="Normal"/>
    <w:autoRedefine/>
    <w:uiPriority w:val="39"/>
    <w:unhideWhenUsed/>
    <w:rsid w:val="00B73C45"/>
    <w:pPr>
      <w:ind w:left="1200"/>
    </w:pPr>
    <w:rPr>
      <w:rFonts w:asciiTheme="minorHAnsi" w:hAnsiTheme="minorHAnsi"/>
      <w:sz w:val="20"/>
      <w:szCs w:val="20"/>
    </w:rPr>
  </w:style>
  <w:style w:type="paragraph" w:styleId="TOC8">
    <w:name w:val="toc 8"/>
    <w:basedOn w:val="Normal"/>
    <w:next w:val="Normal"/>
    <w:autoRedefine/>
    <w:uiPriority w:val="39"/>
    <w:unhideWhenUsed/>
    <w:rsid w:val="00B73C45"/>
    <w:pPr>
      <w:ind w:left="1440"/>
    </w:pPr>
    <w:rPr>
      <w:rFonts w:asciiTheme="minorHAnsi" w:hAnsiTheme="minorHAnsi"/>
      <w:sz w:val="20"/>
      <w:szCs w:val="20"/>
    </w:rPr>
  </w:style>
  <w:style w:type="paragraph" w:styleId="TOC9">
    <w:name w:val="toc 9"/>
    <w:basedOn w:val="Normal"/>
    <w:next w:val="Normal"/>
    <w:autoRedefine/>
    <w:uiPriority w:val="39"/>
    <w:unhideWhenUsed/>
    <w:rsid w:val="00B73C45"/>
    <w:pPr>
      <w:ind w:left="1680"/>
    </w:pPr>
    <w:rPr>
      <w:rFonts w:asciiTheme="minorHAnsi" w:hAnsiTheme="minorHAnsi"/>
      <w:sz w:val="20"/>
      <w:szCs w:val="20"/>
    </w:rPr>
  </w:style>
  <w:style w:type="table" w:styleId="TableGrid">
    <w:name w:val="Table Grid"/>
    <w:basedOn w:val="TableNormal"/>
    <w:uiPriority w:val="39"/>
    <w:rsid w:val="0020119C"/>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836474"/>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836474"/>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836474"/>
    <w:rPr>
      <w:rFonts w:ascii="Calibri" w:eastAsiaTheme="minorHAnsi" w:hAnsi="Calibri"/>
      <w:sz w:val="22"/>
      <w:szCs w:val="21"/>
    </w:rPr>
  </w:style>
  <w:style w:type="character" w:styleId="Emphasis">
    <w:name w:val="Emphasis"/>
    <w:basedOn w:val="DefaultParagraphFont"/>
    <w:uiPriority w:val="20"/>
    <w:qFormat/>
    <w:rsid w:val="00836474"/>
    <w:rPr>
      <w:i/>
      <w:iCs/>
    </w:rPr>
  </w:style>
  <w:style w:type="character" w:customStyle="1" w:styleId="apple-converted-space">
    <w:name w:val="apple-converted-space"/>
    <w:basedOn w:val="DefaultParagraphFont"/>
    <w:rsid w:val="00836474"/>
  </w:style>
  <w:style w:type="paragraph" w:styleId="HTMLPreformatted">
    <w:name w:val="HTML Preformatted"/>
    <w:basedOn w:val="Normal"/>
    <w:link w:val="HTMLPreformattedChar"/>
    <w:uiPriority w:val="99"/>
    <w:unhideWhenUsed/>
    <w:rsid w:val="00836474"/>
    <w:rPr>
      <w:rFonts w:ascii="Consolas" w:eastAsiaTheme="minorHAnsi" w:hAnsi="Consolas" w:cstheme="minorBidi"/>
      <w:sz w:val="20"/>
      <w:szCs w:val="20"/>
      <w:lang w:eastAsia="en-US"/>
    </w:rPr>
  </w:style>
  <w:style w:type="character" w:customStyle="1" w:styleId="HTMLPreformattedChar">
    <w:name w:val="HTML Preformatted Char"/>
    <w:basedOn w:val="DefaultParagraphFont"/>
    <w:link w:val="HTMLPreformatted"/>
    <w:uiPriority w:val="99"/>
    <w:rsid w:val="00836474"/>
    <w:rPr>
      <w:rFonts w:ascii="Consolas" w:eastAsiaTheme="minorHAnsi" w:hAnsi="Consolas"/>
      <w:sz w:val="20"/>
      <w:szCs w:val="20"/>
    </w:rPr>
  </w:style>
  <w:style w:type="paragraph" w:customStyle="1" w:styleId="TestAnswer">
    <w:name w:val="Test. Answer"/>
    <w:basedOn w:val="Normal"/>
    <w:link w:val="TestAnswerChar"/>
    <w:qFormat/>
    <w:rsid w:val="00836474"/>
    <w:pPr>
      <w:spacing w:after="280" w:line="480" w:lineRule="auto"/>
      <w:ind w:left="720" w:hanging="720"/>
      <w:jc w:val="both"/>
    </w:pPr>
    <w:rPr>
      <w:rFonts w:eastAsiaTheme="minorHAnsi"/>
      <w:lang w:eastAsia="en-US"/>
    </w:rPr>
  </w:style>
  <w:style w:type="character" w:customStyle="1" w:styleId="TestAnswerChar">
    <w:name w:val="Test. Answer Char"/>
    <w:basedOn w:val="DefaultParagraphFont"/>
    <w:link w:val="TestAnswer"/>
    <w:rsid w:val="00836474"/>
    <w:rPr>
      <w:rFonts w:ascii="Times New Roman" w:eastAsiaTheme="minorHAnsi" w:hAnsi="Times New Roman" w:cs="Times New Roman"/>
    </w:rPr>
  </w:style>
  <w:style w:type="paragraph" w:customStyle="1" w:styleId="FigureTitle">
    <w:name w:val="Figure Title"/>
    <w:basedOn w:val="Normal"/>
    <w:next w:val="Normal"/>
    <w:autoRedefine/>
    <w:qFormat/>
    <w:rsid w:val="001B22FD"/>
    <w:pPr>
      <w:spacing w:line="259" w:lineRule="auto"/>
      <w:jc w:val="center"/>
    </w:pPr>
    <w:rPr>
      <w:rFonts w:asciiTheme="minorHAnsi" w:eastAsiaTheme="minorHAnsi" w:hAnsiTheme="minorHAnsi" w:cstheme="minorBidi"/>
      <w:smallCaps/>
      <w:sz w:val="22"/>
      <w:szCs w:val="22"/>
      <w:lang w:eastAsia="en-US"/>
    </w:rPr>
  </w:style>
  <w:style w:type="character" w:customStyle="1" w:styleId="ssit">
    <w:name w:val="ss_it"/>
    <w:basedOn w:val="DefaultParagraphFont"/>
    <w:rsid w:val="008A0EEB"/>
  </w:style>
  <w:style w:type="character" w:customStyle="1" w:styleId="UnresolvedMention3">
    <w:name w:val="Unresolved Mention3"/>
    <w:basedOn w:val="DefaultParagraphFont"/>
    <w:uiPriority w:val="99"/>
    <w:semiHidden/>
    <w:unhideWhenUsed/>
    <w:rsid w:val="00C22B76"/>
    <w:rPr>
      <w:color w:val="605E5C"/>
      <w:shd w:val="clear" w:color="auto" w:fill="E1DFDD"/>
    </w:rPr>
  </w:style>
  <w:style w:type="paragraph" w:customStyle="1" w:styleId="gmail-m7495582046267717933msolistparagraph">
    <w:name w:val="gmail-m7495582046267717933msolistparagraph"/>
    <w:basedOn w:val="Normal"/>
    <w:rsid w:val="00FC5E2F"/>
    <w:pPr>
      <w:spacing w:before="100" w:beforeAutospacing="1" w:after="100" w:afterAutospacing="1"/>
    </w:pPr>
    <w:rPr>
      <w:rFonts w:eastAsia="Calibri"/>
      <w:lang w:eastAsia="en-US"/>
    </w:rPr>
  </w:style>
  <w:style w:type="character" w:customStyle="1" w:styleId="UnresolvedMention4">
    <w:name w:val="Unresolved Mention4"/>
    <w:basedOn w:val="DefaultParagraphFont"/>
    <w:uiPriority w:val="99"/>
    <w:semiHidden/>
    <w:unhideWhenUsed/>
    <w:rsid w:val="00C42C92"/>
    <w:rPr>
      <w:color w:val="605E5C"/>
      <w:shd w:val="clear" w:color="auto" w:fill="E1DFDD"/>
    </w:rPr>
  </w:style>
  <w:style w:type="character" w:customStyle="1" w:styleId="UnresolvedMention5">
    <w:name w:val="Unresolved Mention5"/>
    <w:basedOn w:val="DefaultParagraphFont"/>
    <w:uiPriority w:val="99"/>
    <w:semiHidden/>
    <w:unhideWhenUsed/>
    <w:rsid w:val="007A3D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5156">
      <w:bodyDiv w:val="1"/>
      <w:marLeft w:val="0"/>
      <w:marRight w:val="0"/>
      <w:marTop w:val="0"/>
      <w:marBottom w:val="0"/>
      <w:divBdr>
        <w:top w:val="none" w:sz="0" w:space="0" w:color="auto"/>
        <w:left w:val="none" w:sz="0" w:space="0" w:color="auto"/>
        <w:bottom w:val="none" w:sz="0" w:space="0" w:color="auto"/>
        <w:right w:val="none" w:sz="0" w:space="0" w:color="auto"/>
      </w:divBdr>
    </w:div>
    <w:div w:id="76444655">
      <w:bodyDiv w:val="1"/>
      <w:marLeft w:val="0"/>
      <w:marRight w:val="0"/>
      <w:marTop w:val="0"/>
      <w:marBottom w:val="0"/>
      <w:divBdr>
        <w:top w:val="none" w:sz="0" w:space="0" w:color="auto"/>
        <w:left w:val="none" w:sz="0" w:space="0" w:color="auto"/>
        <w:bottom w:val="none" w:sz="0" w:space="0" w:color="auto"/>
        <w:right w:val="none" w:sz="0" w:space="0" w:color="auto"/>
      </w:divBdr>
    </w:div>
    <w:div w:id="163398889">
      <w:bodyDiv w:val="1"/>
      <w:marLeft w:val="0"/>
      <w:marRight w:val="0"/>
      <w:marTop w:val="0"/>
      <w:marBottom w:val="0"/>
      <w:divBdr>
        <w:top w:val="none" w:sz="0" w:space="0" w:color="auto"/>
        <w:left w:val="none" w:sz="0" w:space="0" w:color="auto"/>
        <w:bottom w:val="none" w:sz="0" w:space="0" w:color="auto"/>
        <w:right w:val="none" w:sz="0" w:space="0" w:color="auto"/>
      </w:divBdr>
    </w:div>
    <w:div w:id="284820110">
      <w:bodyDiv w:val="1"/>
      <w:marLeft w:val="0"/>
      <w:marRight w:val="0"/>
      <w:marTop w:val="0"/>
      <w:marBottom w:val="0"/>
      <w:divBdr>
        <w:top w:val="none" w:sz="0" w:space="0" w:color="auto"/>
        <w:left w:val="none" w:sz="0" w:space="0" w:color="auto"/>
        <w:bottom w:val="none" w:sz="0" w:space="0" w:color="auto"/>
        <w:right w:val="none" w:sz="0" w:space="0" w:color="auto"/>
      </w:divBdr>
      <w:divsChild>
        <w:div w:id="103965697">
          <w:marLeft w:val="0"/>
          <w:marRight w:val="0"/>
          <w:marTop w:val="0"/>
          <w:marBottom w:val="0"/>
          <w:divBdr>
            <w:top w:val="none" w:sz="0" w:space="0" w:color="auto"/>
            <w:left w:val="none" w:sz="0" w:space="0" w:color="auto"/>
            <w:bottom w:val="none" w:sz="0" w:space="0" w:color="auto"/>
            <w:right w:val="none" w:sz="0" w:space="0" w:color="auto"/>
          </w:divBdr>
        </w:div>
      </w:divsChild>
    </w:div>
    <w:div w:id="627781100">
      <w:bodyDiv w:val="1"/>
      <w:marLeft w:val="0"/>
      <w:marRight w:val="0"/>
      <w:marTop w:val="0"/>
      <w:marBottom w:val="0"/>
      <w:divBdr>
        <w:top w:val="none" w:sz="0" w:space="0" w:color="auto"/>
        <w:left w:val="none" w:sz="0" w:space="0" w:color="auto"/>
        <w:bottom w:val="none" w:sz="0" w:space="0" w:color="auto"/>
        <w:right w:val="none" w:sz="0" w:space="0" w:color="auto"/>
      </w:divBdr>
    </w:div>
    <w:div w:id="730810145">
      <w:bodyDiv w:val="1"/>
      <w:marLeft w:val="0"/>
      <w:marRight w:val="0"/>
      <w:marTop w:val="0"/>
      <w:marBottom w:val="0"/>
      <w:divBdr>
        <w:top w:val="none" w:sz="0" w:space="0" w:color="auto"/>
        <w:left w:val="none" w:sz="0" w:space="0" w:color="auto"/>
        <w:bottom w:val="none" w:sz="0" w:space="0" w:color="auto"/>
        <w:right w:val="none" w:sz="0" w:space="0" w:color="auto"/>
      </w:divBdr>
    </w:div>
    <w:div w:id="755327401">
      <w:bodyDiv w:val="1"/>
      <w:marLeft w:val="0"/>
      <w:marRight w:val="0"/>
      <w:marTop w:val="0"/>
      <w:marBottom w:val="0"/>
      <w:divBdr>
        <w:top w:val="none" w:sz="0" w:space="0" w:color="auto"/>
        <w:left w:val="none" w:sz="0" w:space="0" w:color="auto"/>
        <w:bottom w:val="none" w:sz="0" w:space="0" w:color="auto"/>
        <w:right w:val="none" w:sz="0" w:space="0" w:color="auto"/>
      </w:divBdr>
    </w:div>
    <w:div w:id="799300364">
      <w:bodyDiv w:val="1"/>
      <w:marLeft w:val="0"/>
      <w:marRight w:val="0"/>
      <w:marTop w:val="0"/>
      <w:marBottom w:val="0"/>
      <w:divBdr>
        <w:top w:val="none" w:sz="0" w:space="0" w:color="auto"/>
        <w:left w:val="none" w:sz="0" w:space="0" w:color="auto"/>
        <w:bottom w:val="none" w:sz="0" w:space="0" w:color="auto"/>
        <w:right w:val="none" w:sz="0" w:space="0" w:color="auto"/>
      </w:divBdr>
    </w:div>
    <w:div w:id="804397754">
      <w:bodyDiv w:val="1"/>
      <w:marLeft w:val="0"/>
      <w:marRight w:val="0"/>
      <w:marTop w:val="0"/>
      <w:marBottom w:val="0"/>
      <w:divBdr>
        <w:top w:val="none" w:sz="0" w:space="0" w:color="auto"/>
        <w:left w:val="none" w:sz="0" w:space="0" w:color="auto"/>
        <w:bottom w:val="none" w:sz="0" w:space="0" w:color="auto"/>
        <w:right w:val="none" w:sz="0" w:space="0" w:color="auto"/>
      </w:divBdr>
    </w:div>
    <w:div w:id="1203982105">
      <w:bodyDiv w:val="1"/>
      <w:marLeft w:val="0"/>
      <w:marRight w:val="0"/>
      <w:marTop w:val="0"/>
      <w:marBottom w:val="0"/>
      <w:divBdr>
        <w:top w:val="none" w:sz="0" w:space="0" w:color="auto"/>
        <w:left w:val="none" w:sz="0" w:space="0" w:color="auto"/>
        <w:bottom w:val="none" w:sz="0" w:space="0" w:color="auto"/>
        <w:right w:val="none" w:sz="0" w:space="0" w:color="auto"/>
      </w:divBdr>
    </w:div>
    <w:div w:id="1252348068">
      <w:bodyDiv w:val="1"/>
      <w:marLeft w:val="0"/>
      <w:marRight w:val="0"/>
      <w:marTop w:val="0"/>
      <w:marBottom w:val="0"/>
      <w:divBdr>
        <w:top w:val="none" w:sz="0" w:space="0" w:color="auto"/>
        <w:left w:val="none" w:sz="0" w:space="0" w:color="auto"/>
        <w:bottom w:val="none" w:sz="0" w:space="0" w:color="auto"/>
        <w:right w:val="none" w:sz="0" w:space="0" w:color="auto"/>
      </w:divBdr>
    </w:div>
    <w:div w:id="1290865379">
      <w:bodyDiv w:val="1"/>
      <w:marLeft w:val="0"/>
      <w:marRight w:val="0"/>
      <w:marTop w:val="0"/>
      <w:marBottom w:val="0"/>
      <w:divBdr>
        <w:top w:val="none" w:sz="0" w:space="0" w:color="auto"/>
        <w:left w:val="none" w:sz="0" w:space="0" w:color="auto"/>
        <w:bottom w:val="none" w:sz="0" w:space="0" w:color="auto"/>
        <w:right w:val="none" w:sz="0" w:space="0" w:color="auto"/>
      </w:divBdr>
    </w:div>
    <w:div w:id="1446772845">
      <w:bodyDiv w:val="1"/>
      <w:marLeft w:val="0"/>
      <w:marRight w:val="0"/>
      <w:marTop w:val="0"/>
      <w:marBottom w:val="0"/>
      <w:divBdr>
        <w:top w:val="none" w:sz="0" w:space="0" w:color="auto"/>
        <w:left w:val="none" w:sz="0" w:space="0" w:color="auto"/>
        <w:bottom w:val="none" w:sz="0" w:space="0" w:color="auto"/>
        <w:right w:val="none" w:sz="0" w:space="0" w:color="auto"/>
      </w:divBdr>
      <w:divsChild>
        <w:div w:id="666515126">
          <w:marLeft w:val="0"/>
          <w:marRight w:val="0"/>
          <w:marTop w:val="0"/>
          <w:marBottom w:val="0"/>
          <w:divBdr>
            <w:top w:val="none" w:sz="0" w:space="0" w:color="auto"/>
            <w:left w:val="none" w:sz="0" w:space="0" w:color="auto"/>
            <w:bottom w:val="none" w:sz="0" w:space="0" w:color="auto"/>
            <w:right w:val="none" w:sz="0" w:space="0" w:color="auto"/>
          </w:divBdr>
        </w:div>
        <w:div w:id="1963152826">
          <w:marLeft w:val="0"/>
          <w:marRight w:val="0"/>
          <w:marTop w:val="0"/>
          <w:marBottom w:val="0"/>
          <w:divBdr>
            <w:top w:val="none" w:sz="0" w:space="0" w:color="auto"/>
            <w:left w:val="none" w:sz="0" w:space="0" w:color="auto"/>
            <w:bottom w:val="none" w:sz="0" w:space="0" w:color="auto"/>
            <w:right w:val="none" w:sz="0" w:space="0" w:color="auto"/>
          </w:divBdr>
        </w:div>
        <w:div w:id="1955361712">
          <w:marLeft w:val="0"/>
          <w:marRight w:val="0"/>
          <w:marTop w:val="0"/>
          <w:marBottom w:val="0"/>
          <w:divBdr>
            <w:top w:val="none" w:sz="0" w:space="0" w:color="auto"/>
            <w:left w:val="none" w:sz="0" w:space="0" w:color="auto"/>
            <w:bottom w:val="none" w:sz="0" w:space="0" w:color="auto"/>
            <w:right w:val="none" w:sz="0" w:space="0" w:color="auto"/>
          </w:divBdr>
        </w:div>
        <w:div w:id="1549338567">
          <w:marLeft w:val="0"/>
          <w:marRight w:val="0"/>
          <w:marTop w:val="0"/>
          <w:marBottom w:val="0"/>
          <w:divBdr>
            <w:top w:val="none" w:sz="0" w:space="0" w:color="auto"/>
            <w:left w:val="none" w:sz="0" w:space="0" w:color="auto"/>
            <w:bottom w:val="none" w:sz="0" w:space="0" w:color="auto"/>
            <w:right w:val="none" w:sz="0" w:space="0" w:color="auto"/>
          </w:divBdr>
        </w:div>
        <w:div w:id="1819108144">
          <w:marLeft w:val="0"/>
          <w:marRight w:val="0"/>
          <w:marTop w:val="0"/>
          <w:marBottom w:val="0"/>
          <w:divBdr>
            <w:top w:val="none" w:sz="0" w:space="0" w:color="auto"/>
            <w:left w:val="none" w:sz="0" w:space="0" w:color="auto"/>
            <w:bottom w:val="none" w:sz="0" w:space="0" w:color="auto"/>
            <w:right w:val="none" w:sz="0" w:space="0" w:color="auto"/>
          </w:divBdr>
        </w:div>
        <w:div w:id="1322582791">
          <w:marLeft w:val="0"/>
          <w:marRight w:val="0"/>
          <w:marTop w:val="0"/>
          <w:marBottom w:val="0"/>
          <w:divBdr>
            <w:top w:val="none" w:sz="0" w:space="0" w:color="auto"/>
            <w:left w:val="none" w:sz="0" w:space="0" w:color="auto"/>
            <w:bottom w:val="none" w:sz="0" w:space="0" w:color="auto"/>
            <w:right w:val="none" w:sz="0" w:space="0" w:color="auto"/>
          </w:divBdr>
        </w:div>
        <w:div w:id="622806870">
          <w:marLeft w:val="0"/>
          <w:marRight w:val="0"/>
          <w:marTop w:val="0"/>
          <w:marBottom w:val="0"/>
          <w:divBdr>
            <w:top w:val="none" w:sz="0" w:space="0" w:color="auto"/>
            <w:left w:val="none" w:sz="0" w:space="0" w:color="auto"/>
            <w:bottom w:val="none" w:sz="0" w:space="0" w:color="auto"/>
            <w:right w:val="none" w:sz="0" w:space="0" w:color="auto"/>
          </w:divBdr>
        </w:div>
      </w:divsChild>
    </w:div>
    <w:div w:id="1514688697">
      <w:bodyDiv w:val="1"/>
      <w:marLeft w:val="0"/>
      <w:marRight w:val="0"/>
      <w:marTop w:val="0"/>
      <w:marBottom w:val="0"/>
      <w:divBdr>
        <w:top w:val="none" w:sz="0" w:space="0" w:color="auto"/>
        <w:left w:val="none" w:sz="0" w:space="0" w:color="auto"/>
        <w:bottom w:val="none" w:sz="0" w:space="0" w:color="auto"/>
        <w:right w:val="none" w:sz="0" w:space="0" w:color="auto"/>
      </w:divBdr>
      <w:divsChild>
        <w:div w:id="1426997031">
          <w:marLeft w:val="0"/>
          <w:marRight w:val="0"/>
          <w:marTop w:val="0"/>
          <w:marBottom w:val="0"/>
          <w:divBdr>
            <w:top w:val="none" w:sz="0" w:space="0" w:color="auto"/>
            <w:left w:val="none" w:sz="0" w:space="0" w:color="auto"/>
            <w:bottom w:val="none" w:sz="0" w:space="0" w:color="auto"/>
            <w:right w:val="none" w:sz="0" w:space="0" w:color="auto"/>
          </w:divBdr>
        </w:div>
      </w:divsChild>
    </w:div>
    <w:div w:id="1709722367">
      <w:bodyDiv w:val="1"/>
      <w:marLeft w:val="0"/>
      <w:marRight w:val="0"/>
      <w:marTop w:val="0"/>
      <w:marBottom w:val="0"/>
      <w:divBdr>
        <w:top w:val="none" w:sz="0" w:space="0" w:color="auto"/>
        <w:left w:val="none" w:sz="0" w:space="0" w:color="auto"/>
        <w:bottom w:val="none" w:sz="0" w:space="0" w:color="auto"/>
        <w:right w:val="none" w:sz="0" w:space="0" w:color="auto"/>
      </w:divBdr>
    </w:div>
    <w:div w:id="1772894721">
      <w:bodyDiv w:val="1"/>
      <w:marLeft w:val="0"/>
      <w:marRight w:val="0"/>
      <w:marTop w:val="0"/>
      <w:marBottom w:val="0"/>
      <w:divBdr>
        <w:top w:val="none" w:sz="0" w:space="0" w:color="auto"/>
        <w:left w:val="none" w:sz="0" w:space="0" w:color="auto"/>
        <w:bottom w:val="none" w:sz="0" w:space="0" w:color="auto"/>
        <w:right w:val="none" w:sz="0" w:space="0" w:color="auto"/>
      </w:divBdr>
    </w:div>
    <w:div w:id="1834301373">
      <w:bodyDiv w:val="1"/>
      <w:marLeft w:val="0"/>
      <w:marRight w:val="0"/>
      <w:marTop w:val="0"/>
      <w:marBottom w:val="0"/>
      <w:divBdr>
        <w:top w:val="none" w:sz="0" w:space="0" w:color="auto"/>
        <w:left w:val="none" w:sz="0" w:space="0" w:color="auto"/>
        <w:bottom w:val="none" w:sz="0" w:space="0" w:color="auto"/>
        <w:right w:val="none" w:sz="0" w:space="0" w:color="auto"/>
      </w:divBdr>
    </w:div>
    <w:div w:id="19314228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oter" Target="footer5.xml"/><Relationship Id="rId17" Type="http://schemas.openxmlformats.org/officeDocument/2006/relationships/footer" Target="footer6.xml"/><Relationship Id="rId2" Type="http://schemas.openxmlformats.org/officeDocument/2006/relationships/styles" Target="styles.xml"/><Relationship Id="rId16" Type="http://schemas.openxmlformats.org/officeDocument/2006/relationships/chart" Target="charts/chart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4.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2.emf"/></Relationships>
</file>

<file path=word/_rels/footnotes.xml.rels><?xml version="1.0" encoding="UTF-8" standalone="yes"?>
<Relationships xmlns="http://schemas.openxmlformats.org/package/2006/relationships"><Relationship Id="rId3" Type="http://schemas.openxmlformats.org/officeDocument/2006/relationships/hyperlink" Target="https://psc.ga.gov/search/facts-document/?documentId=179259" TargetMode="External"/><Relationship Id="rId2" Type="http://schemas.openxmlformats.org/officeDocument/2006/relationships/hyperlink" Target="https://www.spp.org/documents/59861/2018%20annual%20state%20of%20the%20market%20report.pdf" TargetMode="External"/><Relationship Id="rId1" Type="http://schemas.openxmlformats.org/officeDocument/2006/relationships/hyperlink" Target="https://www.monitoringanalytics.com/reports/PJM_State_of_the_Market/2018.shtml" TargetMode="External"/><Relationship Id="rId6" Type="http://schemas.openxmlformats.org/officeDocument/2006/relationships/hyperlink" Target="https://www.seia.org/sites/default/files/2020-09/Georgia.pdf" TargetMode="External"/><Relationship Id="rId5" Type="http://schemas.openxmlformats.org/officeDocument/2006/relationships/hyperlink" Target="https://psc.ga.gov/search/facts-document/?documentId=181567" TargetMode="External"/><Relationship Id="rId4" Type="http://schemas.openxmlformats.org/officeDocument/2006/relationships/hyperlink" Target="https://psc.ga.gov/search/facts-document/?documentId=181182"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about:blank"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Solar Capacity in Georgia Power Territory</a:t>
            </a:r>
          </a:p>
        </c:rich>
      </c:tx>
      <c:overlay val="0"/>
      <c:spPr>
        <a:noFill/>
        <a:ln>
          <a:noFill/>
        </a:ln>
        <a:effectLst/>
      </c:spPr>
    </c:title>
    <c:autoTitleDeleted val="0"/>
    <c:plotArea>
      <c:layout/>
      <c:scatterChart>
        <c:scatterStyle val="lineMarker"/>
        <c:varyColors val="0"/>
        <c:ser>
          <c:idx val="0"/>
          <c:order val="0"/>
          <c:tx>
            <c:strRef>
              <c:f>Sheet1!$B$15</c:f>
              <c:strCache>
                <c:ptCount val="1"/>
                <c:pt idx="0">
                  <c:v>Georgia Power Solar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Sheet1!$A$16:$A$42</c:f>
              <c:numCache>
                <c:formatCode>General</c:formatCode>
                <c:ptCount val="27"/>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numCache>
            </c:numRef>
          </c:xVal>
          <c:yVal>
            <c:numRef>
              <c:f>Sheet1!$B$16:$B$42</c:f>
              <c:numCache>
                <c:formatCode>General</c:formatCode>
                <c:ptCount val="27"/>
                <c:pt idx="1">
                  <c:v>0.34</c:v>
                </c:pt>
                <c:pt idx="2">
                  <c:v>0.34</c:v>
                </c:pt>
                <c:pt idx="3">
                  <c:v>0.34</c:v>
                </c:pt>
                <c:pt idx="4">
                  <c:v>0.34</c:v>
                </c:pt>
                <c:pt idx="5">
                  <c:v>0.34</c:v>
                </c:pt>
                <c:pt idx="6">
                  <c:v>0.34</c:v>
                </c:pt>
                <c:pt idx="7">
                  <c:v>0.34</c:v>
                </c:pt>
                <c:pt idx="8">
                  <c:v>0.34</c:v>
                </c:pt>
                <c:pt idx="9">
                  <c:v>0.34</c:v>
                </c:pt>
                <c:pt idx="10">
                  <c:v>0.34</c:v>
                </c:pt>
                <c:pt idx="11">
                  <c:v>0.34</c:v>
                </c:pt>
                <c:pt idx="12">
                  <c:v>0.34</c:v>
                </c:pt>
                <c:pt idx="13">
                  <c:v>0.35</c:v>
                </c:pt>
                <c:pt idx="14">
                  <c:v>0.52</c:v>
                </c:pt>
                <c:pt idx="15">
                  <c:v>0.7</c:v>
                </c:pt>
                <c:pt idx="16">
                  <c:v>2.6</c:v>
                </c:pt>
                <c:pt idx="17">
                  <c:v>7.8</c:v>
                </c:pt>
                <c:pt idx="18">
                  <c:v>14.2</c:v>
                </c:pt>
                <c:pt idx="19">
                  <c:v>99</c:v>
                </c:pt>
                <c:pt idx="20">
                  <c:v>133</c:v>
                </c:pt>
                <c:pt idx="21">
                  <c:v>354</c:v>
                </c:pt>
                <c:pt idx="22">
                  <c:v>1058</c:v>
                </c:pt>
                <c:pt idx="23">
                  <c:v>1151</c:v>
                </c:pt>
                <c:pt idx="24">
                  <c:v>1165</c:v>
                </c:pt>
                <c:pt idx="25">
                  <c:v>2047</c:v>
                </c:pt>
                <c:pt idx="26">
                  <c:v>2184</c:v>
                </c:pt>
              </c:numCache>
            </c:numRef>
          </c:yVal>
          <c:smooth val="0"/>
          <c:extLst>
            <c:ext xmlns:c16="http://schemas.microsoft.com/office/drawing/2014/chart" uri="{C3380CC4-5D6E-409C-BE32-E72D297353CC}">
              <c16:uniqueId val="{00000000-D5C0-3D48-888B-9096DE50143C}"/>
            </c:ext>
          </c:extLst>
        </c:ser>
        <c:ser>
          <c:idx val="1"/>
          <c:order val="1"/>
          <c:tx>
            <c:strRef>
              <c:f>Sheet1!$C$15</c:f>
              <c:strCache>
                <c:ptCount val="1"/>
                <c:pt idx="0">
                  <c:v>Standard Offer Solar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Sheet1!$A$16:$A$42</c:f>
              <c:numCache>
                <c:formatCode>General</c:formatCode>
                <c:ptCount val="27"/>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numCache>
            </c:numRef>
          </c:xVal>
          <c:yVal>
            <c:numRef>
              <c:f>Sheet1!$C$16:$C$42</c:f>
              <c:numCache>
                <c:formatCode>General</c:formatCode>
                <c:ptCount val="27"/>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4.2</c:v>
                </c:pt>
                <c:pt idx="19">
                  <c:v>4.2</c:v>
                </c:pt>
                <c:pt idx="20">
                  <c:v>4.2</c:v>
                </c:pt>
                <c:pt idx="21">
                  <c:v>5.2</c:v>
                </c:pt>
                <c:pt idx="22">
                  <c:v>5.2</c:v>
                </c:pt>
                <c:pt idx="23">
                  <c:v>5.2</c:v>
                </c:pt>
                <c:pt idx="24">
                  <c:v>5.2</c:v>
                </c:pt>
                <c:pt idx="25">
                  <c:v>5.2</c:v>
                </c:pt>
                <c:pt idx="26">
                  <c:v>5.8</c:v>
                </c:pt>
              </c:numCache>
            </c:numRef>
          </c:yVal>
          <c:smooth val="0"/>
          <c:extLst>
            <c:ext xmlns:c16="http://schemas.microsoft.com/office/drawing/2014/chart" uri="{C3380CC4-5D6E-409C-BE32-E72D297353CC}">
              <c16:uniqueId val="{00000001-D5C0-3D48-888B-9096DE50143C}"/>
            </c:ext>
          </c:extLst>
        </c:ser>
        <c:dLbls>
          <c:showLegendKey val="0"/>
          <c:showVal val="0"/>
          <c:showCatName val="0"/>
          <c:showSerName val="0"/>
          <c:showPercent val="0"/>
          <c:showBubbleSize val="0"/>
        </c:dLbls>
        <c:axId val="228629120"/>
        <c:axId val="234538112"/>
      </c:scatterChart>
      <c:valAx>
        <c:axId val="228629120"/>
        <c:scaling>
          <c:orientation val="minMax"/>
          <c:max val="2020"/>
          <c:min val="199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38112"/>
        <c:crosses val="autoZero"/>
        <c:crossBetween val="midCat"/>
      </c:valAx>
      <c:valAx>
        <c:axId val="234538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MW</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86291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0.62117</cdr:x>
      <cdr:y>0.78457</cdr:y>
    </cdr:from>
    <cdr:to>
      <cdr:x>0.76402</cdr:x>
      <cdr:y>0.83097</cdr:y>
    </cdr:to>
    <cdr:sp macro="" textlink="">
      <cdr:nvSpPr>
        <cdr:cNvPr id="2" name="TextBox 1">
          <a:extLst xmlns:a="http://schemas.openxmlformats.org/drawingml/2006/main">
            <a:ext uri="{FF2B5EF4-FFF2-40B4-BE49-F238E27FC236}">
              <a16:creationId xmlns:a16="http://schemas.microsoft.com/office/drawing/2014/main" id="{583077EA-36E7-A944-B473-5F306FEBFAB0}"/>
            </a:ext>
          </a:extLst>
        </cdr:cNvPr>
        <cdr:cNvSpPr txBox="1"/>
      </cdr:nvSpPr>
      <cdr:spPr>
        <a:xfrm xmlns:a="http://schemas.openxmlformats.org/drawingml/2006/main">
          <a:off x="3691965" y="3155117"/>
          <a:ext cx="849043" cy="1865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i="1"/>
            <a:t>LSS</a:t>
          </a:r>
        </a:p>
      </cdr:txBody>
    </cdr:sp>
  </cdr:relSizeAnchor>
  <cdr:relSizeAnchor xmlns:cdr="http://schemas.openxmlformats.org/drawingml/2006/chartDrawing">
    <cdr:from>
      <cdr:x>0.65757</cdr:x>
      <cdr:y>0.75682</cdr:y>
    </cdr:from>
    <cdr:to>
      <cdr:x>0.80043</cdr:x>
      <cdr:y>0.80323</cdr:y>
    </cdr:to>
    <cdr:sp macro="" textlink="">
      <cdr:nvSpPr>
        <cdr:cNvPr id="3" name="TextBox 1">
          <a:extLst xmlns:a="http://schemas.openxmlformats.org/drawingml/2006/main">
            <a:ext uri="{FF2B5EF4-FFF2-40B4-BE49-F238E27FC236}">
              <a16:creationId xmlns:a16="http://schemas.microsoft.com/office/drawing/2014/main" id="{B4ABE08B-445A-B747-BEF7-08DD6B713C44}"/>
            </a:ext>
          </a:extLst>
        </cdr:cNvPr>
        <cdr:cNvSpPr txBox="1"/>
      </cdr:nvSpPr>
      <cdr:spPr>
        <a:xfrm xmlns:a="http://schemas.openxmlformats.org/drawingml/2006/main">
          <a:off x="3908334" y="3043518"/>
          <a:ext cx="849103" cy="18663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i="1"/>
            <a:t>ASI</a:t>
          </a:r>
        </a:p>
      </cdr:txBody>
    </cdr:sp>
  </cdr:relSizeAnchor>
  <cdr:relSizeAnchor xmlns:cdr="http://schemas.openxmlformats.org/drawingml/2006/chartDrawing">
    <cdr:from>
      <cdr:x>0.66666</cdr:x>
      <cdr:y>0.7194</cdr:y>
    </cdr:from>
    <cdr:to>
      <cdr:x>0.80952</cdr:x>
      <cdr:y>0.76581</cdr:y>
    </cdr:to>
    <cdr:sp macro="" textlink="">
      <cdr:nvSpPr>
        <cdr:cNvPr id="4" name="TextBox 1">
          <a:extLst xmlns:a="http://schemas.openxmlformats.org/drawingml/2006/main">
            <a:ext uri="{FF2B5EF4-FFF2-40B4-BE49-F238E27FC236}">
              <a16:creationId xmlns:a16="http://schemas.microsoft.com/office/drawing/2014/main" id="{3BD41962-BEEF-3041-8E1F-95EF7AA242A4}"/>
            </a:ext>
          </a:extLst>
        </cdr:cNvPr>
        <cdr:cNvSpPr txBox="1"/>
      </cdr:nvSpPr>
      <cdr:spPr>
        <a:xfrm xmlns:a="http://schemas.openxmlformats.org/drawingml/2006/main">
          <a:off x="3962341" y="2893049"/>
          <a:ext cx="849103" cy="18663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i="1"/>
            <a:t>ASI Prime</a:t>
          </a:r>
        </a:p>
      </cdr:txBody>
    </cdr:sp>
  </cdr:relSizeAnchor>
  <cdr:relSizeAnchor xmlns:cdr="http://schemas.openxmlformats.org/drawingml/2006/chartDrawing">
    <cdr:from>
      <cdr:x>0.77975</cdr:x>
      <cdr:y>0.47031</cdr:y>
    </cdr:from>
    <cdr:to>
      <cdr:x>0.92261</cdr:x>
      <cdr:y>0.51671</cdr:y>
    </cdr:to>
    <cdr:sp macro="" textlink="">
      <cdr:nvSpPr>
        <cdr:cNvPr id="5" name="TextBox 1">
          <a:extLst xmlns:a="http://schemas.openxmlformats.org/drawingml/2006/main">
            <a:ext uri="{FF2B5EF4-FFF2-40B4-BE49-F238E27FC236}">
              <a16:creationId xmlns:a16="http://schemas.microsoft.com/office/drawing/2014/main" id="{A93E9E51-4A37-FA48-BDB3-063454E0129B}"/>
            </a:ext>
          </a:extLst>
        </cdr:cNvPr>
        <cdr:cNvSpPr txBox="1"/>
      </cdr:nvSpPr>
      <cdr:spPr>
        <a:xfrm xmlns:a="http://schemas.openxmlformats.org/drawingml/2006/main">
          <a:off x="4634543" y="1891320"/>
          <a:ext cx="849102" cy="1865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i="1"/>
            <a:t>REDI</a:t>
          </a:r>
        </a:p>
      </cdr:txBody>
    </cdr:sp>
  </cdr:relSizeAnchor>
  <cdr:relSizeAnchor xmlns:cdr="http://schemas.openxmlformats.org/drawingml/2006/chartDrawing">
    <cdr:from>
      <cdr:x>0.87234</cdr:x>
      <cdr:y>0.16675</cdr:y>
    </cdr:from>
    <cdr:to>
      <cdr:x>0.96519</cdr:x>
      <cdr:y>0.21287</cdr:y>
    </cdr:to>
    <cdr:sp macro="" textlink="">
      <cdr:nvSpPr>
        <cdr:cNvPr id="6" name="TextBox 1">
          <a:extLst xmlns:a="http://schemas.openxmlformats.org/drawingml/2006/main">
            <a:ext uri="{FF2B5EF4-FFF2-40B4-BE49-F238E27FC236}">
              <a16:creationId xmlns:a16="http://schemas.microsoft.com/office/drawing/2014/main" id="{A795B8E8-42AD-AB45-80AD-16CBABA5F244}"/>
            </a:ext>
          </a:extLst>
        </cdr:cNvPr>
        <cdr:cNvSpPr txBox="1"/>
      </cdr:nvSpPr>
      <cdr:spPr>
        <a:xfrm xmlns:a="http://schemas.openxmlformats.org/drawingml/2006/main">
          <a:off x="5184842" y="670590"/>
          <a:ext cx="551881" cy="1854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i="1"/>
            <a:t>CRSP+</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1</Pages>
  <Words>10343</Words>
  <Characters>58960</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69165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2020-12-04T18:57:00Z</dcterms:created>
  <dcterms:modified xsi:type="dcterms:W3CDTF">2020-12-04T18:58:00Z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0x010100F3725F0C48B37847A9FB4F8F72D58588</vt:lpwstr>
  </property>
</Properties>
</file>